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lang w:eastAsia="zh-CN"/>
        </w:rPr>
        <w:t>长沙商贸旅游职业技术学院</w:t>
      </w:r>
      <w:r>
        <w:rPr>
          <w:rFonts w:hint="eastAsia" w:ascii="等线" w:hAnsi="等线" w:eastAsia="华文中宋" w:cs="华文中宋"/>
          <w:b/>
          <w:bCs/>
          <w:sz w:val="36"/>
          <w:szCs w:val="36"/>
        </w:rPr>
        <w:t>20</w:t>
      </w:r>
      <w:r>
        <w:rPr>
          <w:rFonts w:hint="eastAsia" w:ascii="等线" w:hAnsi="等线" w:eastAsia="华文中宋" w:cs="华文中宋"/>
          <w:b/>
          <w:bCs/>
          <w:sz w:val="36"/>
          <w:szCs w:val="36"/>
          <w:lang w:val="en-US" w:eastAsia="zh-CN"/>
        </w:rPr>
        <w:t>25</w:t>
      </w:r>
      <w:r>
        <w:rPr>
          <w:rFonts w:hint="eastAsia" w:ascii="等线" w:hAnsi="等线" w:eastAsia="华文中宋" w:cs="华文中宋"/>
          <w:b/>
          <w:bCs/>
          <w:sz w:val="36"/>
          <w:szCs w:val="36"/>
        </w:rPr>
        <w:t>年</w:t>
      </w:r>
      <w:r>
        <w:rPr>
          <w:rFonts w:hint="eastAsia" w:ascii="等线" w:hAnsi="等线" w:eastAsia="华文中宋" w:cs="华文中宋"/>
          <w:b/>
          <w:bCs/>
          <w:sz w:val="36"/>
          <w:szCs w:val="36"/>
          <w:lang w:val="en-US" w:eastAsia="zh-CN"/>
        </w:rPr>
        <w:t>高职单招章</w:t>
      </w:r>
      <w:r>
        <w:rPr>
          <w:rFonts w:hint="eastAsia" w:ascii="等线" w:hAnsi="等线" w:eastAsia="华文中宋" w:cs="华文中宋"/>
          <w:b/>
          <w:bCs/>
          <w:sz w:val="36"/>
          <w:szCs w:val="36"/>
        </w:rPr>
        <w:t>程</w:t>
      </w:r>
    </w:p>
    <w:p>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总则</w:t>
      </w:r>
    </w:p>
    <w:p>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w:t>
      </w:r>
      <w:r>
        <w:rPr>
          <w:rFonts w:hint="eastAsia" w:ascii="等线" w:hAnsi="等线" w:eastAsia="仿宋" w:cs="仿宋"/>
          <w:sz w:val="28"/>
          <w:szCs w:val="28"/>
          <w:lang w:val="en-US" w:eastAsia="zh-CN"/>
        </w:rPr>
        <w:t>发</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长沙商贸旅游职业技术学院</w:t>
      </w:r>
    </w:p>
    <w:p>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：长沙市雨花区圭白路16号。</w:t>
      </w:r>
    </w:p>
    <w:p>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none"/>
          <w:lang w:val="en-US" w:eastAsia="zh-CN"/>
        </w:rPr>
        <w:t>长沙市人民政府</w:t>
      </w:r>
    </w:p>
    <w:p>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none"/>
          <w:lang w:val="en-US" w:eastAsia="zh-CN"/>
        </w:rPr>
        <w:t>4714</w:t>
      </w:r>
    </w:p>
    <w:p>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办学类型：公办</w:t>
      </w:r>
    </w:p>
    <w:p>
      <w:pPr>
        <w:numPr>
          <w:ilvl w:val="0"/>
          <w:numId w:val="2"/>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长沙商贸旅游职业技术学院</w:t>
      </w:r>
      <w:r>
        <w:rPr>
          <w:rFonts w:hint="eastAsia" w:ascii="等线" w:hAnsi="等线" w:eastAsia="仿宋" w:cs="仿宋"/>
          <w:sz w:val="28"/>
          <w:szCs w:val="28"/>
          <w:u w:val="none"/>
          <w:lang w:eastAsia="zh-CN"/>
        </w:rPr>
        <w:t>。</w:t>
      </w: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eastAsia="zh-CN"/>
        </w:rPr>
        <w:t>简介：</w:t>
      </w:r>
      <w:r>
        <w:rPr>
          <w:rFonts w:hint="eastAsia" w:ascii="等线" w:hAnsi="等线" w:eastAsia="仿宋" w:cs="仿宋"/>
          <w:sz w:val="28"/>
          <w:szCs w:val="28"/>
          <w:u w:val="none"/>
          <w:lang w:val="en-US" w:eastAsia="zh-CN"/>
        </w:rPr>
        <w:t>长沙商贸旅游职业技术学院是由长沙市人民政府主办、湖南省教育厅指导业务的全日制公办普通高等学校。2015年成为湖南省首批8所卓越高职院校建设单位之一。2019年，相继被认定为国家优质高等专科学校(简称“国家优质校”)和立项为中国特色高水平高职学校和专业建设计划(简称“双高计划”)建设单位。2022年7月被立项为湖南省楚怡高水平高职学校（A档）。</w:t>
      </w: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eastAsia="zh-CN"/>
        </w:rPr>
        <w:t>单招</w:t>
      </w:r>
      <w:r>
        <w:rPr>
          <w:rFonts w:hint="eastAsia" w:ascii="等线" w:hAnsi="等线" w:eastAsia="仿宋" w:cs="仿宋"/>
          <w:sz w:val="28"/>
          <w:szCs w:val="28"/>
          <w:u w:val="none"/>
          <w:lang w:val="en-US" w:eastAsia="zh-CN"/>
        </w:rPr>
        <w:t>工作领导小组</w:t>
      </w:r>
      <w:r>
        <w:rPr>
          <w:rFonts w:hint="eastAsia" w:ascii="等线" w:hAnsi="等线" w:eastAsia="仿宋" w:cs="仿宋"/>
          <w:sz w:val="28"/>
          <w:szCs w:val="28"/>
          <w:lang w:val="en-US" w:eastAsia="zh-CN"/>
        </w:rPr>
        <w:t>负责研究决定本校单招规模确定、政策制订等重大事项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none"/>
          <w:lang w:eastAsia="zh-CN"/>
        </w:rPr>
        <w:t>就业招生工作处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u w:val="none"/>
          <w:lang w:val="en-US" w:eastAsia="zh-CN"/>
        </w:rPr>
        <w:t>教务处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纪委负责全程监督检查单招工作</w:t>
      </w:r>
      <w:r>
        <w:rPr>
          <w:rFonts w:hint="eastAsia" w:ascii="等线" w:hAnsi="等线" w:eastAsia="仿宋" w:cs="仿宋"/>
          <w:sz w:val="28"/>
          <w:szCs w:val="28"/>
        </w:rPr>
        <w:t>。</w:t>
      </w: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pPr>
        <w:numPr>
          <w:ilvl w:val="0"/>
          <w:numId w:val="2"/>
        </w:num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rPr>
        <w:t>符合我省202</w:t>
      </w:r>
      <w:r>
        <w:rPr>
          <w:rFonts w:hint="eastAsia" w:ascii="等线" w:hAnsi="等线" w:eastAsia="仿宋" w:cs="仿宋"/>
          <w:sz w:val="28"/>
          <w:szCs w:val="28"/>
          <w:lang w:val="en-US" w:eastAsia="zh-CN"/>
        </w:rPr>
        <w:t>5</w:t>
      </w:r>
      <w:r>
        <w:rPr>
          <w:rFonts w:hint="eastAsia" w:ascii="等线" w:hAnsi="等线" w:eastAsia="仿宋" w:cs="仿宋"/>
          <w:sz w:val="28"/>
          <w:szCs w:val="28"/>
        </w:rPr>
        <w:t>年普通高考（含对口招生考试）报名条件并已参加高考报名的人员</w:t>
      </w:r>
      <w:r>
        <w:rPr>
          <w:rFonts w:hint="eastAsia" w:ascii="等线" w:hAnsi="等线" w:eastAsia="仿宋" w:cs="仿宋"/>
          <w:sz w:val="28"/>
          <w:szCs w:val="28"/>
          <w:lang w:val="en-US" w:eastAsia="zh-CN"/>
        </w:rPr>
        <w:t>均可报考</w:t>
      </w:r>
      <w:r>
        <w:rPr>
          <w:rFonts w:hint="eastAsia" w:ascii="等线" w:hAnsi="等线" w:eastAsia="仿宋" w:cs="仿宋"/>
          <w:sz w:val="28"/>
          <w:szCs w:val="28"/>
        </w:rPr>
        <w:t>。</w:t>
      </w:r>
      <w:r>
        <w:rPr>
          <w:rFonts w:hint="eastAsia" w:ascii="等线" w:hAnsi="等线" w:eastAsia="仿宋" w:cs="仿宋"/>
          <w:sz w:val="28"/>
          <w:szCs w:val="28"/>
          <w:lang w:val="en-US" w:eastAsia="zh-CN"/>
        </w:rPr>
        <w:t>考生填报志愿的时间统一自2月18日8:00开始，至2月25日17:00结束。</w:t>
      </w:r>
    </w:p>
    <w:p>
      <w:pPr>
        <w:numPr>
          <w:ilvl w:val="0"/>
          <w:numId w:val="0"/>
        </w:numPr>
        <w:adjustRightInd/>
        <w:snapToGrid/>
        <w:spacing w:line="6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color w:val="auto"/>
          <w:sz w:val="28"/>
          <w:szCs w:val="28"/>
        </w:rPr>
        <w:t>可登录</w:t>
      </w:r>
      <w:r>
        <w:rPr>
          <w:rFonts w:hint="eastAsia" w:ascii="等线" w:hAnsi="等线" w:eastAsia="仿宋" w:cs="仿宋"/>
          <w:sz w:val="28"/>
          <w:szCs w:val="28"/>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校</w:t>
      </w:r>
      <w:r>
        <w:rPr>
          <w:rFonts w:hint="eastAsia" w:ascii="等线" w:hAnsi="等线" w:eastAsia="仿宋" w:cs="仿宋"/>
          <w:sz w:val="28"/>
          <w:szCs w:val="28"/>
          <w:lang w:val="en-US" w:eastAsia="zh-CN"/>
        </w:rPr>
        <w:t>网站（http://jyzs.hncpu.com:8080/）公布的有关信息。</w:t>
      </w:r>
    </w:p>
    <w:p>
      <w:pPr>
        <w:numPr>
          <w:ilvl w:val="0"/>
          <w:numId w:val="0"/>
        </w:numPr>
        <w:adjustRightInd/>
        <w:snapToGrid/>
        <w:spacing w:line="6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第九条 </w:t>
      </w:r>
      <w:r>
        <w:rPr>
          <w:rFonts w:hint="eastAsia" w:ascii="等线" w:hAnsi="等线" w:eastAsia="仿宋" w:cs="仿宋"/>
          <w:sz w:val="28"/>
          <w:szCs w:val="28"/>
          <w:lang w:val="en-US" w:eastAsia="zh-CN"/>
        </w:rPr>
        <w:t>填报专业要求。我校实行专业组志愿，考生在填报我校志愿时，需选择</w:t>
      </w:r>
      <w:r>
        <w:rPr>
          <w:rFonts w:hint="eastAsia" w:ascii="等线" w:hAnsi="等线" w:eastAsia="仿宋" w:cs="仿宋"/>
          <w:sz w:val="28"/>
          <w:szCs w:val="28"/>
          <w:u w:val="none"/>
          <w:lang w:val="en-US" w:eastAsia="zh-CN"/>
        </w:rPr>
        <w:t>一个</w:t>
      </w:r>
      <w:r>
        <w:rPr>
          <w:rFonts w:hint="eastAsia" w:ascii="等线" w:hAnsi="等线" w:eastAsia="仿宋" w:cs="仿宋"/>
          <w:sz w:val="28"/>
          <w:szCs w:val="28"/>
          <w:lang w:val="en-US" w:eastAsia="zh-CN"/>
        </w:rPr>
        <w:t>专业组中的</w:t>
      </w:r>
      <w:r>
        <w:rPr>
          <w:rFonts w:hint="eastAsia" w:ascii="等线" w:hAnsi="等线" w:eastAsia="仿宋" w:cs="仿宋"/>
          <w:sz w:val="28"/>
          <w:szCs w:val="28"/>
          <w:u w:val="none"/>
          <w:lang w:val="en-US" w:eastAsia="zh-CN"/>
        </w:rPr>
        <w:t>2个</w:t>
      </w:r>
      <w:r>
        <w:rPr>
          <w:rFonts w:hint="eastAsia" w:ascii="等线" w:hAnsi="等线" w:eastAsia="仿宋" w:cs="仿宋"/>
          <w:sz w:val="28"/>
          <w:szCs w:val="28"/>
          <w:lang w:val="en-US" w:eastAsia="zh-CN"/>
        </w:rPr>
        <w:t>专业，并确定是否选择专业服从调剂。</w:t>
      </w:r>
    </w:p>
    <w:p>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艺术体育特长生和五类社会人员(含退役军人、农民工、下岗失业人员、新型职业农民、企业在岗人员等，下同)志愿填报的有关要求。</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1.艺术体育特长生须在填报志愿前查询拟报考的第一志愿学校单招章程，2月22日8:00前按要求提交有关证明材料给拟报考的第一志愿学校进行认定(相关资料交由学校</w:t>
      </w:r>
      <w:r>
        <w:rPr>
          <w:rFonts w:hint="eastAsia" w:ascii="等线" w:hAnsi="等线" w:eastAsia="仿宋" w:cs="仿宋"/>
          <w:sz w:val="28"/>
          <w:szCs w:val="28"/>
          <w:lang w:val="en-US" w:eastAsia="zh-CN"/>
        </w:rPr>
        <w:t>敬业楼101室，具体联系方式：0731-89768565</w:t>
      </w:r>
      <w:r>
        <w:rPr>
          <w:rFonts w:hint="eastAsia" w:ascii="等线" w:hAnsi="等线" w:eastAsia="仿宋" w:cs="仿宋"/>
          <w:sz w:val="28"/>
          <w:szCs w:val="28"/>
        </w:rPr>
        <w:t>)。</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五类社会人员须在填报志愿前登录“考生信息填报系统”首页下载对应的报名身份审核(界定)表,按要求办理有关手续，2月22日8:00前将证明材料提供给拟报考的第一志愿学校进行认定(相关资料交由学校敬业楼101室</w:t>
      </w:r>
      <w:r>
        <w:rPr>
          <w:rFonts w:hint="eastAsia" w:ascii="等线" w:hAnsi="等线" w:eastAsia="仿宋" w:cs="仿宋"/>
          <w:sz w:val="28"/>
          <w:szCs w:val="28"/>
          <w:lang w:eastAsia="zh-CN"/>
        </w:rPr>
        <w:t>，</w:t>
      </w:r>
      <w:r>
        <w:rPr>
          <w:rFonts w:hint="eastAsia" w:ascii="等线" w:hAnsi="等线" w:eastAsia="仿宋" w:cs="仿宋"/>
          <w:sz w:val="28"/>
          <w:szCs w:val="28"/>
        </w:rPr>
        <w:t>具体联系方式：0731-89768565)。</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3.艺术体育特长生和五类社会人员须经拟报考第一志愿学校认定后方可填报对应艺术体育特长生或五类社会人员类别的志愿。不能提供有关证明材料、认定不符合艺术体育特长生或五类社会人员要求的考生只能以应届普通高中毕业考生身份或中职考生和往届普通高中考生及同等学力考生身份在志愿填报期间填报对应类别志愿专业。志愿类别填报错误造成的后果，由考生本人承担。</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4.在艺术体育特长生和五类社会人员认定审核工作中出现的弄虚作假、徇私舞弊等违规违纪违法行为，将严格按照《国家教育考试违规处理办法》《普通高等学校招生违规行为处理暂行办法》《事业单位工作人员处分暂行规定》《中华人民共和国公职人员政务处分法》等有关法律法规严肃处理，依法依规追究当事人及相关人员责任。提供虚假证明材料的考生将依据教育部相关规定取消其当年高考报名、考试和录取资格。</w:t>
      </w: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rPr>
      </w:pPr>
      <w:r>
        <w:rPr>
          <w:rFonts w:hint="eastAsia" w:ascii="等线" w:hAnsi="等线" w:eastAsia="仿宋" w:cs="仿宋"/>
          <w:b/>
          <w:bCs/>
          <w:sz w:val="28"/>
          <w:szCs w:val="28"/>
          <w:lang w:val="en-US" w:eastAsia="zh-CN"/>
        </w:rPr>
        <w:t>第十一条</w:t>
      </w:r>
      <w:r>
        <w:rPr>
          <w:rFonts w:hint="eastAsia" w:ascii="等线" w:hAnsi="等线" w:eastAsia="仿宋" w:cs="仿宋"/>
          <w:b w:val="0"/>
          <w:bCs w:val="0"/>
          <w:sz w:val="28"/>
          <w:szCs w:val="28"/>
          <w:lang w:val="en-US" w:eastAsia="zh-CN"/>
        </w:rPr>
        <w:t xml:space="preserve"> 我校</w:t>
      </w:r>
      <w:r>
        <w:rPr>
          <w:rFonts w:hint="eastAsia" w:ascii="等线" w:hAnsi="等线" w:eastAsia="仿宋" w:cs="仿宋"/>
          <w:b w:val="0"/>
          <w:bCs w:val="0"/>
          <w:sz w:val="28"/>
          <w:szCs w:val="28"/>
        </w:rPr>
        <w:t>202</w:t>
      </w:r>
      <w:r>
        <w:rPr>
          <w:rFonts w:hint="eastAsia" w:ascii="等线" w:hAnsi="等线" w:eastAsia="仿宋" w:cs="仿宋"/>
          <w:b w:val="0"/>
          <w:bCs w:val="0"/>
          <w:sz w:val="28"/>
          <w:szCs w:val="28"/>
          <w:lang w:val="en-US" w:eastAsia="zh-CN"/>
        </w:rPr>
        <w:t>5</w:t>
      </w:r>
      <w:r>
        <w:rPr>
          <w:rFonts w:hint="eastAsia" w:ascii="等线" w:hAnsi="等线" w:eastAsia="仿宋" w:cs="仿宋"/>
          <w:b w:val="0"/>
          <w:bCs w:val="0"/>
          <w:sz w:val="28"/>
          <w:szCs w:val="28"/>
        </w:rPr>
        <w:t>年单招</w:t>
      </w:r>
      <w:r>
        <w:rPr>
          <w:rFonts w:hint="eastAsia" w:ascii="等线" w:hAnsi="等线" w:eastAsia="仿宋" w:cs="仿宋"/>
          <w:b w:val="0"/>
          <w:bCs w:val="0"/>
          <w:sz w:val="28"/>
          <w:szCs w:val="28"/>
          <w:lang w:val="en-US" w:eastAsia="zh-CN"/>
        </w:rPr>
        <w:t>总</w:t>
      </w:r>
      <w:r>
        <w:rPr>
          <w:rFonts w:hint="eastAsia" w:ascii="等线" w:hAnsi="等线" w:eastAsia="仿宋" w:cs="仿宋"/>
          <w:b w:val="0"/>
          <w:bCs w:val="0"/>
          <w:sz w:val="28"/>
          <w:szCs w:val="28"/>
        </w:rPr>
        <w:t>计划数为</w:t>
      </w:r>
      <w:r>
        <w:rPr>
          <w:rFonts w:hint="eastAsia" w:ascii="等线" w:hAnsi="等线" w:eastAsia="仿宋" w:cs="仿宋"/>
          <w:b w:val="0"/>
          <w:bCs w:val="0"/>
          <w:sz w:val="28"/>
          <w:szCs w:val="28"/>
          <w:u w:val="none"/>
          <w:lang w:val="en-US" w:eastAsia="zh-CN"/>
        </w:rPr>
        <w:t>2000</w:t>
      </w:r>
      <w:r>
        <w:rPr>
          <w:rFonts w:hint="eastAsia" w:ascii="等线" w:hAnsi="等线" w:eastAsia="仿宋" w:cs="仿宋"/>
          <w:b w:val="0"/>
          <w:bCs w:val="0"/>
          <w:sz w:val="28"/>
          <w:szCs w:val="28"/>
          <w:u w:val="none"/>
        </w:rPr>
        <w:t>人</w:t>
      </w:r>
      <w:r>
        <w:rPr>
          <w:rFonts w:hint="eastAsia" w:ascii="等线" w:hAnsi="等线" w:eastAsia="仿宋" w:cs="仿宋"/>
          <w:b w:val="0"/>
          <w:bCs w:val="0"/>
          <w:sz w:val="28"/>
          <w:szCs w:val="28"/>
          <w:lang w:eastAsia="zh-CN"/>
        </w:rPr>
        <w:t>，其中包</w:t>
      </w:r>
      <w:r>
        <w:rPr>
          <w:rFonts w:hint="eastAsia" w:ascii="等线" w:hAnsi="等线" w:eastAsia="仿宋" w:cs="仿宋"/>
          <w:b w:val="0"/>
          <w:bCs w:val="0"/>
          <w:sz w:val="28"/>
          <w:szCs w:val="28"/>
          <w:lang w:val="en-US" w:eastAsia="zh-CN"/>
        </w:rPr>
        <w:t>含单列</w:t>
      </w:r>
      <w:r>
        <w:rPr>
          <w:rFonts w:hint="eastAsia" w:ascii="等线" w:hAnsi="等线" w:eastAsia="仿宋" w:cs="仿宋"/>
          <w:sz w:val="28"/>
          <w:szCs w:val="28"/>
          <w:lang w:val="en-US" w:eastAsia="zh-CN"/>
        </w:rPr>
        <w:t>计划的退役军</w:t>
      </w:r>
      <w:r>
        <w:rPr>
          <w:rFonts w:hint="eastAsia" w:ascii="等线" w:hAnsi="等线" w:eastAsia="仿宋" w:cs="仿宋"/>
          <w:sz w:val="28"/>
          <w:szCs w:val="28"/>
          <w:u w:val="none"/>
          <w:lang w:val="en-US" w:eastAsia="zh-CN"/>
        </w:rPr>
        <w:t>人10人、其他社会人员40人、艺术、体育特长生分别</w:t>
      </w:r>
      <w:r>
        <w:rPr>
          <w:rFonts w:hint="eastAsia" w:ascii="等线" w:hAnsi="等线" w:eastAsia="仿宋" w:cs="仿宋"/>
          <w:color w:val="auto"/>
          <w:sz w:val="28"/>
          <w:szCs w:val="28"/>
          <w:u w:val="none"/>
          <w:lang w:val="en-US" w:eastAsia="zh-CN"/>
        </w:rPr>
        <w:t>3人、21人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其中，男子篮球6人，男子足球1人，女子排球6人，武术（舞狮）5人，羽毛球3人，舞蹈（体育舞蹈、啦啦操）3人。</w:t>
      </w:r>
      <w:r>
        <w:rPr>
          <w:rFonts w:hint="eastAsia" w:ascii="等线" w:hAnsi="等线" w:eastAsia="仿宋" w:cs="仿宋"/>
          <w:color w:val="auto"/>
          <w:sz w:val="28"/>
          <w:szCs w:val="28"/>
          <w:lang w:eastAsia="zh-CN"/>
        </w:rPr>
        <w:t>本校</w:t>
      </w:r>
      <w:r>
        <w:rPr>
          <w:rFonts w:hint="eastAsia" w:ascii="等线" w:hAnsi="等线" w:eastAsia="仿宋" w:cs="仿宋"/>
          <w:color w:val="auto"/>
          <w:sz w:val="28"/>
          <w:szCs w:val="28"/>
          <w:lang w:val="en-US" w:eastAsia="zh-CN"/>
        </w:rPr>
        <w:t>2025年单独招生专业及计划数最终以湖南省教育考试院公布为准</w:t>
      </w:r>
      <w:r>
        <w:rPr>
          <w:rFonts w:hint="eastAsia" w:ascii="等线" w:hAnsi="等线" w:eastAsia="仿宋" w:cs="仿宋"/>
          <w:color w:val="auto"/>
          <w:sz w:val="28"/>
          <w:szCs w:val="28"/>
        </w:rPr>
        <w:t>，各专业最终学费标准以2</w:t>
      </w:r>
      <w:r>
        <w:rPr>
          <w:rFonts w:ascii="等线" w:hAnsi="等线" w:eastAsia="仿宋" w:cs="仿宋"/>
          <w:color w:val="auto"/>
          <w:sz w:val="28"/>
          <w:szCs w:val="28"/>
        </w:rPr>
        <w:t>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年湖南省物价主管部门审核为准。</w:t>
      </w:r>
    </w:p>
    <w:tbl>
      <w:tblPr>
        <w:tblStyle w:val="11"/>
        <w:tblW w:w="6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99"/>
        <w:gridCol w:w="2805"/>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FF0000"/>
                <w:sz w:val="24"/>
                <w:szCs w:val="24"/>
                <w:u w:val="none"/>
              </w:rPr>
            </w:pPr>
            <w:r>
              <w:rPr>
                <w:rFonts w:hint="eastAsia" w:ascii="楷体" w:hAnsi="楷体" w:eastAsia="楷体" w:cs="楷体"/>
                <w:b/>
                <w:bCs/>
                <w:i w:val="0"/>
                <w:iCs w:val="0"/>
                <w:color w:val="000000"/>
                <w:kern w:val="0"/>
                <w:sz w:val="24"/>
                <w:szCs w:val="24"/>
                <w:u w:val="none"/>
                <w:lang w:val="en-US" w:eastAsia="zh-CN" w:bidi="ar"/>
              </w:rPr>
              <w:t>专业组</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FF0000"/>
                <w:sz w:val="24"/>
                <w:szCs w:val="24"/>
                <w:u w:val="none"/>
              </w:rPr>
            </w:pPr>
            <w:r>
              <w:rPr>
                <w:rFonts w:hint="eastAsia" w:ascii="楷体" w:hAnsi="楷体" w:eastAsia="楷体" w:cs="楷体"/>
                <w:b/>
                <w:bCs/>
                <w:i w:val="0"/>
                <w:iCs w:val="0"/>
                <w:color w:val="000000"/>
                <w:kern w:val="0"/>
                <w:sz w:val="24"/>
                <w:szCs w:val="24"/>
                <w:u w:val="none"/>
                <w:lang w:val="en-US" w:eastAsia="zh-CN" w:bidi="ar"/>
              </w:rPr>
              <w:t>专业名称</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FF0000"/>
                <w:sz w:val="24"/>
                <w:szCs w:val="24"/>
                <w:u w:val="none"/>
              </w:rPr>
            </w:pPr>
            <w:r>
              <w:rPr>
                <w:rFonts w:hint="eastAsia" w:ascii="楷体" w:hAnsi="楷体" w:eastAsia="楷体" w:cs="楷体"/>
                <w:b/>
                <w:bCs/>
                <w:i w:val="0"/>
                <w:iCs w:val="0"/>
                <w:color w:val="000000"/>
                <w:kern w:val="0"/>
                <w:sz w:val="24"/>
                <w:szCs w:val="24"/>
                <w:u w:val="none"/>
                <w:lang w:val="en-US" w:eastAsia="zh-CN" w:bidi="ar"/>
              </w:rPr>
              <w:t>学费（元/年）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专业组一</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烹饪工艺与营养</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5060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营养配餐</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西式烹饪工艺</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专业组二</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旅游管理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5060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餐饮智能管理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酒店管理与数字化运营</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会展策划与管理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5060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研学旅行管理与服务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专业组三</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空中乘务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高速铁路客运服务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专业组四</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电子商务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跨境电子商务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专业组五</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大数据与会计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9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大数据与审计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金融服务与管理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专业组六</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广告艺术设计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艺术设计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网络直播与运营</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2"/>
                <w:szCs w:val="22"/>
                <w:u w:val="none"/>
                <w:lang w:val="en-US" w:eastAsia="zh-CN" w:bidi="ar"/>
              </w:rPr>
              <w:t>专业组七</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软件技术</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移动应用开发</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Style w:val="30"/>
                <w:lang w:val="en-US" w:eastAsia="zh-CN" w:bidi="ar"/>
              </w:rPr>
              <w:t>大数据技术</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人工智能技术应用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楷体" w:hAnsi="楷体" w:eastAsia="楷体" w:cs="楷体"/>
                <w:i w:val="0"/>
                <w:iCs w:val="0"/>
                <w:color w:val="000000"/>
                <w:kern w:val="0"/>
                <w:sz w:val="26"/>
                <w:szCs w:val="26"/>
                <w:u w:val="none"/>
                <w:lang w:val="en-US" w:eastAsia="zh-CN" w:bidi="ar"/>
              </w:rPr>
              <w:t xml:space="preserve">4600 </w:t>
            </w:r>
          </w:p>
        </w:tc>
      </w:tr>
    </w:tbl>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等线" w:hAnsi="等线" w:eastAsia="仿宋" w:cs="仿宋"/>
          <w:sz w:val="28"/>
          <w:szCs w:val="28"/>
        </w:rPr>
      </w:pPr>
    </w:p>
    <w:p>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第十二条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pPr>
        <w:widowControl/>
        <w:spacing w:line="500" w:lineRule="exact"/>
        <w:ind w:firstLine="560" w:firstLineChars="200"/>
        <w:jc w:val="left"/>
        <w:rPr>
          <w:rFonts w:hint="eastAsia" w:ascii="仿宋" w:hAnsi="仿宋" w:eastAsia="仿宋" w:cs="宋体"/>
          <w:kern w:val="0"/>
          <w:sz w:val="28"/>
          <w:u w:val="none"/>
          <w:lang w:val="en-US" w:eastAsia="zh-CN"/>
        </w:rPr>
      </w:pPr>
      <w:r>
        <w:rPr>
          <w:rFonts w:hint="eastAsia" w:ascii="仿宋" w:hAnsi="仿宋" w:eastAsia="仿宋" w:cs="宋体"/>
          <w:kern w:val="0"/>
          <w:sz w:val="28"/>
          <w:u w:val="none"/>
          <w:lang w:val="en-US" w:eastAsia="zh-CN"/>
        </w:rPr>
        <w:t>1.退役军人计划</w:t>
      </w:r>
      <w:r>
        <w:rPr>
          <w:rFonts w:hint="eastAsia" w:ascii="等线" w:hAnsi="等线" w:eastAsia="仿宋" w:cs="仿宋"/>
          <w:sz w:val="28"/>
          <w:szCs w:val="28"/>
          <w:u w:val="none"/>
          <w:lang w:val="en-US" w:eastAsia="zh-CN"/>
        </w:rPr>
        <w:t>10人，考生</w:t>
      </w:r>
      <w:r>
        <w:rPr>
          <w:rFonts w:hint="eastAsia" w:ascii="仿宋" w:hAnsi="仿宋" w:eastAsia="仿宋" w:cs="宋体"/>
          <w:kern w:val="0"/>
          <w:sz w:val="28"/>
          <w:u w:val="none"/>
          <w:lang w:val="en-US" w:eastAsia="zh-CN"/>
        </w:rPr>
        <w:t>可在上表专业范围内自行选择报考，但每个专业最多录取2人。</w:t>
      </w:r>
    </w:p>
    <w:p>
      <w:pPr>
        <w:widowControl/>
        <w:spacing w:line="500" w:lineRule="exact"/>
        <w:ind w:firstLine="560" w:firstLineChars="200"/>
        <w:jc w:val="left"/>
        <w:rPr>
          <w:rFonts w:hint="default" w:ascii="仿宋" w:hAnsi="仿宋" w:eastAsia="仿宋" w:cs="宋体"/>
          <w:kern w:val="0"/>
          <w:sz w:val="28"/>
          <w:u w:val="none"/>
          <w:lang w:val="en-US" w:eastAsia="zh-CN"/>
        </w:rPr>
      </w:pPr>
      <w:r>
        <w:rPr>
          <w:rFonts w:hint="eastAsia" w:ascii="仿宋" w:hAnsi="仿宋" w:eastAsia="仿宋" w:cs="宋体"/>
          <w:kern w:val="0"/>
          <w:sz w:val="28"/>
          <w:u w:val="none"/>
          <w:lang w:val="en-US" w:eastAsia="zh-CN"/>
        </w:rPr>
        <w:t>2</w:t>
      </w:r>
      <w:r>
        <w:rPr>
          <w:rFonts w:hint="eastAsia" w:ascii="仿宋" w:hAnsi="仿宋" w:eastAsia="仿宋" w:cs="宋体"/>
          <w:kern w:val="0"/>
          <w:sz w:val="28"/>
          <w:u w:val="none"/>
          <w:lang w:eastAsia="zh-CN"/>
        </w:rPr>
        <w:t>.其他社会人员（</w:t>
      </w:r>
      <w:r>
        <w:rPr>
          <w:rFonts w:hint="eastAsia" w:ascii="仿宋" w:hAnsi="仿宋" w:eastAsia="仿宋" w:cs="宋体"/>
          <w:kern w:val="0"/>
          <w:sz w:val="28"/>
          <w:u w:val="none"/>
        </w:rPr>
        <w:t>农民工、下岗失业人员、新型职业农民和企业在岗人员</w:t>
      </w:r>
      <w:r>
        <w:rPr>
          <w:rFonts w:hint="eastAsia" w:ascii="仿宋" w:hAnsi="仿宋" w:eastAsia="仿宋" w:cs="宋体"/>
          <w:kern w:val="0"/>
          <w:sz w:val="28"/>
          <w:u w:val="none"/>
          <w:lang w:eastAsia="zh-CN"/>
        </w:rPr>
        <w:t>）</w:t>
      </w:r>
      <w:r>
        <w:rPr>
          <w:rFonts w:hint="eastAsia" w:ascii="仿宋" w:hAnsi="仿宋" w:eastAsia="仿宋" w:cs="宋体"/>
          <w:kern w:val="0"/>
          <w:sz w:val="28"/>
          <w:u w:val="none"/>
          <w:lang w:val="en-US" w:eastAsia="zh-CN"/>
        </w:rPr>
        <w:t>计划</w:t>
      </w:r>
      <w:r>
        <w:rPr>
          <w:rFonts w:hint="eastAsia" w:ascii="等线" w:hAnsi="等线" w:eastAsia="仿宋" w:cs="仿宋"/>
          <w:sz w:val="28"/>
          <w:szCs w:val="28"/>
          <w:u w:val="none"/>
          <w:lang w:val="en-US" w:eastAsia="zh-CN"/>
        </w:rPr>
        <w:t>40人</w:t>
      </w:r>
      <w:r>
        <w:rPr>
          <w:rFonts w:hint="eastAsia" w:ascii="仿宋" w:hAnsi="仿宋" w:eastAsia="仿宋" w:cs="宋体"/>
          <w:kern w:val="0"/>
          <w:sz w:val="28"/>
          <w:u w:val="none"/>
          <w:lang w:eastAsia="zh-CN"/>
        </w:rPr>
        <w:t>，</w:t>
      </w:r>
      <w:r>
        <w:rPr>
          <w:rFonts w:hint="eastAsia" w:ascii="仿宋" w:hAnsi="仿宋" w:eastAsia="仿宋" w:cs="宋体"/>
          <w:color w:val="FF0000"/>
          <w:kern w:val="0"/>
          <w:sz w:val="28"/>
          <w:u w:val="none"/>
          <w:lang w:val="en-US" w:eastAsia="zh-CN"/>
        </w:rPr>
        <w:t>其中</w:t>
      </w:r>
      <w:r>
        <w:rPr>
          <w:rFonts w:hint="eastAsia" w:ascii="等线" w:hAnsi="等线" w:eastAsia="仿宋" w:cs="仿宋"/>
          <w:color w:val="FF0000"/>
          <w:sz w:val="28"/>
          <w:szCs w:val="28"/>
          <w:u w:val="none"/>
          <w:lang w:val="en-US" w:eastAsia="zh-CN"/>
        </w:rPr>
        <w:t>餐饮智能管理专业15人；烹饪工艺与营养专业10人；研学旅行管理与服务专业15人。</w:t>
      </w:r>
    </w:p>
    <w:p>
      <w:pPr>
        <w:widowControl/>
        <w:spacing w:line="500" w:lineRule="exact"/>
        <w:ind w:firstLine="560" w:firstLineChars="200"/>
        <w:jc w:val="left"/>
        <w:rPr>
          <w:rFonts w:hint="eastAsia" w:ascii="等线" w:hAnsi="等线" w:eastAsia="仿宋" w:cs="宋体"/>
          <w:kern w:val="0"/>
          <w:sz w:val="28"/>
          <w:u w:val="none"/>
          <w:lang w:eastAsia="zh-CN"/>
        </w:rPr>
      </w:pPr>
      <w:r>
        <w:rPr>
          <w:rFonts w:hint="eastAsia" w:ascii="仿宋" w:hAnsi="仿宋" w:eastAsia="仿宋" w:cs="宋体"/>
          <w:kern w:val="0"/>
          <w:sz w:val="28"/>
          <w:u w:val="none"/>
        </w:rPr>
        <w:t>3</w:t>
      </w:r>
      <w:r>
        <w:rPr>
          <w:rFonts w:hint="eastAsia" w:ascii="仿宋" w:hAnsi="仿宋" w:eastAsia="仿宋" w:cs="宋体"/>
          <w:kern w:val="0"/>
          <w:sz w:val="28"/>
          <w:u w:val="none"/>
          <w:lang w:eastAsia="zh-CN"/>
        </w:rPr>
        <w:t>.</w:t>
      </w:r>
      <w:r>
        <w:rPr>
          <w:rFonts w:hint="eastAsia" w:ascii="等线" w:hAnsi="等线" w:eastAsia="仿宋" w:cs="宋体"/>
          <w:kern w:val="0"/>
          <w:sz w:val="28"/>
          <w:u w:val="none"/>
          <w:lang w:val="en-US" w:eastAsia="zh-CN"/>
        </w:rPr>
        <w:t>艺术特长生</w:t>
      </w:r>
      <w:r>
        <w:rPr>
          <w:rFonts w:hint="eastAsia" w:ascii="等线" w:hAnsi="等线" w:eastAsia="仿宋" w:cs="宋体"/>
          <w:kern w:val="0"/>
          <w:sz w:val="28"/>
          <w:u w:val="none"/>
        </w:rPr>
        <w:t>招生计划</w:t>
      </w:r>
      <w:r>
        <w:rPr>
          <w:rFonts w:hint="eastAsia" w:ascii="等线" w:hAnsi="等线" w:eastAsia="仿宋" w:cs="仿宋"/>
          <w:color w:val="FF0000"/>
          <w:sz w:val="28"/>
          <w:szCs w:val="28"/>
          <w:u w:val="none"/>
          <w:lang w:val="en-US" w:eastAsia="zh-CN"/>
        </w:rPr>
        <w:t>3</w:t>
      </w:r>
      <w:r>
        <w:rPr>
          <w:rFonts w:hint="eastAsia" w:ascii="等线" w:hAnsi="等线" w:eastAsia="仿宋" w:cs="宋体"/>
          <w:kern w:val="0"/>
          <w:sz w:val="28"/>
          <w:u w:val="none"/>
        </w:rPr>
        <w:t>人</w:t>
      </w:r>
      <w:r>
        <w:rPr>
          <w:rFonts w:hint="eastAsia" w:ascii="等线" w:hAnsi="等线" w:eastAsia="仿宋" w:cs="宋体"/>
          <w:kern w:val="0"/>
          <w:sz w:val="28"/>
          <w:u w:val="none"/>
          <w:lang w:eastAsia="zh-CN"/>
        </w:rPr>
        <w:t>，</w:t>
      </w:r>
      <w:r>
        <w:rPr>
          <w:rFonts w:hint="eastAsia" w:ascii="等线" w:hAnsi="等线" w:eastAsia="仿宋" w:cs="宋体"/>
          <w:kern w:val="0"/>
          <w:sz w:val="28"/>
          <w:u w:val="none"/>
          <w:lang w:val="en-US" w:eastAsia="zh-CN"/>
        </w:rPr>
        <w:t>体育特长生</w:t>
      </w:r>
      <w:r>
        <w:rPr>
          <w:rFonts w:hint="eastAsia" w:ascii="等线" w:hAnsi="等线" w:eastAsia="仿宋" w:cs="宋体"/>
          <w:kern w:val="0"/>
          <w:sz w:val="28"/>
          <w:u w:val="none"/>
        </w:rPr>
        <w:t>招生计划</w:t>
      </w:r>
      <w:r>
        <w:rPr>
          <w:rFonts w:hint="eastAsia" w:ascii="等线" w:hAnsi="等线" w:eastAsia="仿宋" w:cs="仿宋"/>
          <w:color w:val="FF0000"/>
          <w:sz w:val="28"/>
          <w:szCs w:val="28"/>
          <w:u w:val="none"/>
          <w:lang w:val="en-US" w:eastAsia="zh-CN"/>
        </w:rPr>
        <w:t>21</w:t>
      </w:r>
      <w:r>
        <w:rPr>
          <w:rFonts w:hint="eastAsia" w:ascii="等线" w:hAnsi="等线" w:eastAsia="仿宋" w:cs="宋体"/>
          <w:kern w:val="0"/>
          <w:sz w:val="28"/>
          <w:u w:val="none"/>
        </w:rPr>
        <w:t>人</w:t>
      </w:r>
      <w:r>
        <w:rPr>
          <w:rFonts w:hint="eastAsia" w:ascii="等线" w:hAnsi="等线" w:eastAsia="仿宋" w:cs="宋体"/>
          <w:kern w:val="0"/>
          <w:sz w:val="28"/>
          <w:u w:val="none"/>
          <w:lang w:eastAsia="zh-CN"/>
        </w:rPr>
        <w:t>，</w:t>
      </w:r>
      <w:r>
        <w:rPr>
          <w:rFonts w:hint="eastAsia" w:ascii="等线" w:hAnsi="等线" w:eastAsia="仿宋" w:cs="宋体"/>
          <w:kern w:val="0"/>
          <w:sz w:val="28"/>
          <w:u w:val="none"/>
          <w:lang w:val="en-US" w:eastAsia="zh-CN"/>
        </w:rPr>
        <w:t>考</w:t>
      </w:r>
      <w:r>
        <w:rPr>
          <w:rFonts w:hint="eastAsia" w:ascii="仿宋" w:hAnsi="仿宋" w:eastAsia="仿宋" w:cs="宋体"/>
          <w:kern w:val="0"/>
          <w:sz w:val="28"/>
          <w:u w:val="none"/>
        </w:rPr>
        <w:t>生可在</w:t>
      </w:r>
      <w:r>
        <w:rPr>
          <w:rFonts w:hint="eastAsia" w:ascii="仿宋" w:hAnsi="仿宋" w:eastAsia="仿宋" w:cs="宋体"/>
          <w:kern w:val="0"/>
          <w:sz w:val="28"/>
          <w:u w:val="none"/>
          <w:lang w:val="en-US" w:eastAsia="zh-CN"/>
        </w:rPr>
        <w:t>上表</w:t>
      </w:r>
      <w:r>
        <w:rPr>
          <w:rFonts w:hint="eastAsia" w:ascii="仿宋" w:hAnsi="仿宋" w:eastAsia="仿宋" w:cs="宋体"/>
          <w:kern w:val="0"/>
          <w:sz w:val="28"/>
          <w:u w:val="none"/>
        </w:rPr>
        <w:t>单</w:t>
      </w:r>
      <w:r>
        <w:rPr>
          <w:rFonts w:hint="eastAsia" w:ascii="等线" w:hAnsi="等线" w:eastAsia="仿宋" w:cs="宋体"/>
          <w:kern w:val="0"/>
          <w:sz w:val="28"/>
          <w:u w:val="none"/>
        </w:rPr>
        <w:t>招专业范围内自行选择报考专业</w:t>
      </w:r>
      <w:r>
        <w:rPr>
          <w:rFonts w:hint="eastAsia" w:ascii="等线" w:hAnsi="等线" w:eastAsia="仿宋" w:cs="宋体"/>
          <w:kern w:val="0"/>
          <w:sz w:val="28"/>
          <w:u w:val="none"/>
          <w:lang w:eastAsia="zh-CN"/>
        </w:rPr>
        <w:t>，但每个专业最多录取特长生</w:t>
      </w:r>
      <w:r>
        <w:rPr>
          <w:rFonts w:hint="eastAsia" w:ascii="等线" w:hAnsi="等线" w:eastAsia="仿宋" w:cs="宋体"/>
          <w:kern w:val="0"/>
          <w:sz w:val="28"/>
          <w:u w:val="none"/>
          <w:lang w:val="en-US" w:eastAsia="zh-CN"/>
        </w:rPr>
        <w:t>2人</w:t>
      </w:r>
      <w:r>
        <w:rPr>
          <w:rFonts w:hint="eastAsia" w:ascii="等线" w:hAnsi="等线" w:eastAsia="仿宋" w:cs="宋体"/>
          <w:kern w:val="0"/>
          <w:sz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000000"/>
          <w:sz w:val="28"/>
          <w:szCs w:val="28"/>
          <w:u w:val="none"/>
          <w:lang w:val="en-US" w:eastAsia="zh-CN"/>
        </w:rPr>
      </w:pPr>
      <w:r>
        <w:rPr>
          <w:rFonts w:hint="eastAsia" w:ascii="等线" w:hAnsi="等线" w:eastAsia="仿宋" w:cs="宋体"/>
          <w:b/>
          <w:bCs/>
          <w:kern w:val="0"/>
          <w:sz w:val="28"/>
          <w:u w:val="none"/>
          <w:lang w:val="en-US" w:eastAsia="zh-CN"/>
        </w:rPr>
        <w:t xml:space="preserve">第十三条 </w:t>
      </w:r>
      <w:r>
        <w:rPr>
          <w:rFonts w:hint="eastAsia" w:ascii="等线" w:hAnsi="等线" w:eastAsia="仿宋" w:cs="宋体"/>
          <w:kern w:val="0"/>
          <w:sz w:val="28"/>
          <w:u w:val="none"/>
          <w:lang w:val="en-US" w:eastAsia="zh-CN"/>
        </w:rPr>
        <w:t>学校在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学校</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第十四条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val="en-US" w:eastAsia="zh-CN"/>
        </w:rPr>
        <w:t>语文、数学、外语三科</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w:t>
      </w:r>
      <w:r>
        <w:rPr>
          <w:rFonts w:hint="eastAsia" w:ascii="等线" w:hAnsi="等线" w:eastAsia="仿宋" w:cs="仿宋"/>
          <w:sz w:val="28"/>
          <w:szCs w:val="28"/>
        </w:rPr>
        <w:t>有效成绩不全的应届普通高中考生）、退役军人、</w:t>
      </w:r>
      <w:r>
        <w:rPr>
          <w:rFonts w:hint="eastAsia" w:ascii="等线" w:hAnsi="等线" w:eastAsia="仿宋" w:cs="仿宋"/>
          <w:sz w:val="28"/>
          <w:szCs w:val="28"/>
          <w:u w:val="none"/>
        </w:rPr>
        <w:t>其他社会人员、</w:t>
      </w:r>
      <w:r>
        <w:rPr>
          <w:rFonts w:hint="eastAsia" w:ascii="等线" w:hAnsi="等线" w:eastAsia="仿宋" w:cs="仿宋"/>
          <w:sz w:val="28"/>
          <w:szCs w:val="28"/>
          <w:u w:val="none"/>
          <w:lang w:val="en-US" w:eastAsia="zh-CN"/>
        </w:rPr>
        <w:t>艺术体育</w:t>
      </w:r>
      <w:r>
        <w:rPr>
          <w:rFonts w:hint="eastAsia" w:ascii="等线" w:hAnsi="等线" w:eastAsia="仿宋" w:cs="仿宋"/>
          <w:sz w:val="28"/>
          <w:szCs w:val="28"/>
          <w:u w:val="none"/>
        </w:rPr>
        <w:t>特长生</w:t>
      </w:r>
      <w:r>
        <w:rPr>
          <w:rFonts w:hint="eastAsia" w:ascii="等线" w:hAnsi="等线" w:eastAsia="仿宋" w:cs="仿宋"/>
          <w:sz w:val="28"/>
          <w:szCs w:val="28"/>
          <w:u w:val="none"/>
          <w:lang w:val="en-US" w:eastAsia="zh-CN"/>
        </w:rPr>
        <w:t>5个</w:t>
      </w:r>
      <w:r>
        <w:rPr>
          <w:rFonts w:hint="eastAsia" w:ascii="等线" w:hAnsi="等线" w:eastAsia="仿宋" w:cs="仿宋"/>
          <w:sz w:val="28"/>
          <w:szCs w:val="28"/>
          <w:u w:val="none"/>
        </w:rPr>
        <w:t>大类。</w:t>
      </w:r>
    </w:p>
    <w:p>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w:t>
      </w:r>
      <w:r>
        <w:rPr>
          <w:rFonts w:hint="eastAsia" w:ascii="等线" w:hAnsi="等线" w:eastAsia="仿宋" w:cs="仿宋"/>
          <w:sz w:val="28"/>
          <w:szCs w:val="28"/>
        </w:rPr>
        <w:t>采取</w:t>
      </w:r>
      <w:r>
        <w:rPr>
          <w:rFonts w:hint="eastAsia" w:ascii="等线" w:hAnsi="等线" w:eastAsia="仿宋" w:cs="仿宋"/>
          <w:sz w:val="28"/>
          <w:szCs w:val="28"/>
          <w:u w:val="none"/>
        </w:rPr>
        <w:t>机试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进行，重点考察学生的职业适应性。</w:t>
      </w:r>
    </w:p>
    <w:p>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采取</w:t>
      </w:r>
      <w:r>
        <w:rPr>
          <w:rFonts w:hint="eastAsia" w:ascii="等线" w:hAnsi="等线" w:eastAsia="仿宋" w:cs="仿宋"/>
          <w:sz w:val="28"/>
          <w:szCs w:val="28"/>
          <w:u w:val="none"/>
        </w:rPr>
        <w:t>机试</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3.第三、第四类：</w:t>
      </w:r>
      <w:r>
        <w:rPr>
          <w:rFonts w:hint="eastAsia" w:ascii="等线" w:hAnsi="等线" w:eastAsia="仿宋" w:cs="仿宋"/>
          <w:sz w:val="28"/>
          <w:szCs w:val="28"/>
        </w:rPr>
        <w:t>退役军人</w:t>
      </w:r>
      <w:r>
        <w:rPr>
          <w:rFonts w:hint="eastAsia" w:ascii="等线" w:hAnsi="等线" w:eastAsia="仿宋" w:cs="仿宋"/>
          <w:sz w:val="28"/>
          <w:szCs w:val="28"/>
          <w:lang w:eastAsia="zh-CN"/>
        </w:rPr>
        <w:t>及</w:t>
      </w:r>
      <w:r>
        <w:rPr>
          <w:rFonts w:hint="eastAsia" w:ascii="等线" w:hAnsi="等线" w:eastAsia="仿宋" w:cs="仿宋"/>
          <w:sz w:val="28"/>
          <w:szCs w:val="28"/>
        </w:rPr>
        <w:t>其他社会人员</w:t>
      </w:r>
      <w:r>
        <w:rPr>
          <w:rFonts w:hint="eastAsia" w:ascii="等线" w:hAnsi="等线" w:eastAsia="仿宋" w:cs="仿宋"/>
          <w:sz w:val="28"/>
          <w:szCs w:val="28"/>
          <w:lang w:eastAsia="zh-CN"/>
        </w:rPr>
        <w:t>。</w:t>
      </w:r>
      <w:r>
        <w:rPr>
          <w:rFonts w:hint="eastAsia" w:ascii="等线" w:hAnsi="等线" w:eastAsia="仿宋" w:cs="仿宋"/>
          <w:sz w:val="28"/>
          <w:szCs w:val="28"/>
        </w:rPr>
        <w:t>退役军人、农民工等社会人员考生免予文化素质测试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4</w:t>
      </w:r>
      <w:r>
        <w:rPr>
          <w:rFonts w:hint="eastAsia" w:ascii="等线" w:hAnsi="等线" w:eastAsia="仿宋" w:cs="仿宋"/>
          <w:sz w:val="28"/>
          <w:szCs w:val="28"/>
          <w:lang w:eastAsia="zh-CN"/>
        </w:rPr>
        <w:t>.第五类：</w:t>
      </w:r>
      <w:r>
        <w:rPr>
          <w:rFonts w:hint="eastAsia" w:ascii="等线" w:hAnsi="等线" w:eastAsia="仿宋" w:cs="仿宋"/>
          <w:sz w:val="28"/>
          <w:szCs w:val="28"/>
          <w:lang w:val="en-US" w:eastAsia="zh-CN"/>
        </w:rPr>
        <w:t>艺术、体育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文化素质测试根据学生类别不同，分别采取上述第一类或第二类的方式进行。职业技能测试成绩以艺术、体育专项测试成绩代替，专项测试按照</w:t>
      </w:r>
      <w:r>
        <w:rPr>
          <w:rFonts w:hint="eastAsia" w:ascii="等线" w:hAnsi="等线" w:eastAsia="仿宋" w:cs="仿宋"/>
          <w:sz w:val="28"/>
          <w:szCs w:val="28"/>
        </w:rPr>
        <w:t>《</w:t>
      </w:r>
      <w:r>
        <w:rPr>
          <w:rFonts w:hint="eastAsia" w:ascii="等线" w:hAnsi="等线" w:eastAsia="仿宋" w:cs="仿宋"/>
          <w:sz w:val="28"/>
          <w:szCs w:val="28"/>
          <w:lang w:eastAsia="zh-CN"/>
        </w:rPr>
        <w:t>长沙商贸旅游职业技术</w:t>
      </w:r>
      <w:r>
        <w:rPr>
          <w:rFonts w:hint="eastAsia" w:ascii="等线" w:hAnsi="等线" w:eastAsia="仿宋" w:cs="仿宋"/>
          <w:sz w:val="28"/>
          <w:szCs w:val="28"/>
          <w:u w:val="none"/>
        </w:rPr>
        <w:t>学</w:t>
      </w:r>
      <w:r>
        <w:rPr>
          <w:rFonts w:hint="eastAsia" w:ascii="等线" w:hAnsi="等线" w:eastAsia="仿宋" w:cs="仿宋"/>
          <w:sz w:val="28"/>
          <w:szCs w:val="28"/>
          <w:u w:val="none"/>
          <w:lang w:val="en-US" w:eastAsia="zh-CN"/>
        </w:rPr>
        <w:t>院</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年艺术、体育特长生高职单招方案》</w:t>
      </w:r>
      <w:r>
        <w:rPr>
          <w:rFonts w:hint="eastAsia" w:ascii="等线" w:hAnsi="等线" w:eastAsia="仿宋" w:cs="仿宋"/>
          <w:sz w:val="28"/>
          <w:szCs w:val="28"/>
          <w:lang w:eastAsia="zh-CN"/>
        </w:rPr>
        <w:t>执行</w:t>
      </w:r>
      <w:r>
        <w:rPr>
          <w:rFonts w:hint="eastAsia" w:ascii="等线" w:hAnsi="等线" w:eastAsia="仿宋" w:cs="仿宋"/>
          <w:sz w:val="28"/>
          <w:szCs w:val="28"/>
        </w:rPr>
        <w:t>。</w:t>
      </w:r>
    </w:p>
    <w:p>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 xml:space="preserve">第十七条 </w:t>
      </w:r>
      <w:r>
        <w:rPr>
          <w:rFonts w:hint="eastAsia" w:ascii="等线" w:hAnsi="等线" w:eastAsia="仿宋" w:cs="仿宋"/>
          <w:sz w:val="28"/>
          <w:szCs w:val="28"/>
          <w:lang w:val="en-US" w:eastAsia="zh-CN"/>
        </w:rPr>
        <w:t>考生的综合成绩为文化素质成绩+职业技能成绩。上述第一类、第二类、第五类考生的高职单招综合成绩（总成绩）满分为600分，第三、第四类考生的综合成绩满分为300分。其中，对于报考我校普通类专业，文化素质成绩与职业技能成绩占比为1：1，即分别各占300分；报考</w:t>
      </w:r>
      <w:r>
        <w:rPr>
          <w:rFonts w:hint="eastAsia" w:ascii="等线" w:hAnsi="等线" w:eastAsia="仿宋" w:cs="仿宋"/>
          <w:sz w:val="28"/>
          <w:szCs w:val="28"/>
          <w:u w:val="none"/>
          <w:lang w:val="en-US" w:eastAsia="zh-CN"/>
        </w:rPr>
        <w:t>艺术、体育特长生</w:t>
      </w:r>
      <w:r>
        <w:rPr>
          <w:rFonts w:hint="eastAsia" w:ascii="等线" w:hAnsi="等线" w:eastAsia="仿宋" w:cs="仿宋"/>
          <w:sz w:val="28"/>
          <w:szCs w:val="28"/>
          <w:lang w:val="en-US" w:eastAsia="zh-CN"/>
        </w:rPr>
        <w:t>，文化素质成绩与职业技能成绩占比</w:t>
      </w:r>
      <w:r>
        <w:rPr>
          <w:rFonts w:hint="eastAsia" w:ascii="等线" w:hAnsi="等线" w:eastAsia="仿宋" w:cs="仿宋"/>
          <w:sz w:val="28"/>
          <w:szCs w:val="28"/>
          <w:u w:val="none"/>
          <w:lang w:val="en-US" w:eastAsia="zh-CN"/>
        </w:rPr>
        <w:t>为1：1</w:t>
      </w:r>
      <w:r>
        <w:rPr>
          <w:rFonts w:hint="eastAsia" w:ascii="等线" w:hAnsi="等线" w:eastAsia="仿宋" w:cs="仿宋"/>
          <w:sz w:val="28"/>
          <w:szCs w:val="28"/>
          <w:lang w:val="en-US" w:eastAsia="zh-CN"/>
        </w:rPr>
        <w:t>，即文化素质成绩和职业技能测试成绩各为300分。</w:t>
      </w:r>
    </w:p>
    <w:p>
      <w:pPr>
        <w:spacing w:line="500" w:lineRule="exact"/>
        <w:ind w:firstLine="562" w:firstLineChars="200"/>
        <w:rPr>
          <w:rFonts w:hint="default"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 xml:space="preserve">第十八条 </w:t>
      </w:r>
      <w:r>
        <w:rPr>
          <w:rFonts w:hint="eastAsia" w:ascii="等线" w:hAnsi="等线" w:eastAsia="仿宋" w:cs="仿宋"/>
          <w:sz w:val="28"/>
          <w:szCs w:val="28"/>
          <w:lang w:val="en-US" w:eastAsia="zh-CN"/>
        </w:rPr>
        <w:t>我校针对第二类考生组织的文化素质测试为</w:t>
      </w:r>
      <w:r>
        <w:rPr>
          <w:rFonts w:hint="eastAsia" w:ascii="等线" w:hAnsi="等线" w:eastAsia="仿宋" w:cs="仿宋"/>
          <w:sz w:val="28"/>
          <w:szCs w:val="28"/>
          <w:u w:val="none"/>
          <w:lang w:val="en-US" w:eastAsia="zh-CN"/>
        </w:rPr>
        <w:t>机试。我校组织职业技能测试请参考我校官网发布的单招考试大纲。专业一志愿报考空中乘务、高速铁路客运服务两个专业的考生，需参加我校组织的专业技能测试，包括职业面向岗位的身高要求（女生净身高162cm-175cm、男生净身高175cm-185cm）、五官端正、皮肤健康（面部、颈部、手部无明显疤痕，无久治不愈的皮肤病，如头癣、湿疹、牛皮癣、慢性荨麻疹等）、身材匀称、BMI指数控制在正常值正负10%以内、仪态礼仪得体、中英文发音标准、具有一定的沟通能力和服务意识，对专业有一定认知、有一定可展示的才艺等，纳入专业技能考核范围。其中，面试为专业技能测试的形式，总分300分，分为五个部分，其中身高、BMI指数：100分，仪态礼仪：60分，中英文发音：60分，沟通能力和服务意识：40分，才艺：40分。</w:t>
      </w:r>
    </w:p>
    <w:p>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 xml:space="preserve">第十九条 </w:t>
      </w:r>
      <w:r>
        <w:rPr>
          <w:rFonts w:hint="eastAsia" w:ascii="等线" w:hAnsi="等线" w:eastAsia="仿宋" w:cs="仿宋"/>
          <w:sz w:val="28"/>
          <w:szCs w:val="28"/>
          <w:u w:val="none"/>
          <w:lang w:val="en-US" w:eastAsia="zh-CN"/>
        </w:rPr>
        <w:t>我校将按照分类考试的原则，对不同专业组的职业技能测试分别进行命题。</w:t>
      </w:r>
      <w:r>
        <w:rPr>
          <w:rFonts w:hint="eastAsia" w:ascii="等线" w:hAnsi="等线" w:eastAsia="仿宋" w:cs="仿宋"/>
          <w:sz w:val="28"/>
          <w:szCs w:val="28"/>
          <w:lang w:val="en-US" w:eastAsia="zh-CN"/>
        </w:rPr>
        <w:t>我校文化素质测试、职业技能测试的有关说明、考试范围等，将在我校官网上进行公布。</w:t>
      </w:r>
    </w:p>
    <w:p>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第二十条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w:t>
      </w:r>
      <w:r>
        <w:rPr>
          <w:rFonts w:hint="eastAsia" w:ascii="等线" w:hAnsi="等线" w:eastAsia="仿宋" w:cs="仿宋"/>
          <w:sz w:val="28"/>
          <w:szCs w:val="28"/>
        </w:rPr>
        <w:t>校申请。其中，</w:t>
      </w:r>
      <w:r>
        <w:rPr>
          <w:rFonts w:hint="eastAsia" w:ascii="等线" w:hAnsi="等线" w:eastAsia="仿宋" w:cs="仿宋"/>
          <w:sz w:val="28"/>
          <w:szCs w:val="28"/>
          <w:lang w:eastAsia="zh-CN"/>
        </w:rPr>
        <w:t>职业技能特长申请免技能测试的考生，须在</w:t>
      </w:r>
      <w:r>
        <w:rPr>
          <w:rFonts w:hint="eastAsia" w:ascii="等线" w:hAnsi="等线" w:eastAsia="仿宋" w:cs="仿宋"/>
          <w:sz w:val="28"/>
          <w:szCs w:val="28"/>
          <w:u w:val="none"/>
          <w:lang w:val="en-US" w:eastAsia="zh-CN"/>
        </w:rPr>
        <w:t>2月22日8:00前</w:t>
      </w:r>
      <w:r>
        <w:rPr>
          <w:rFonts w:hint="eastAsia" w:ascii="等线" w:hAnsi="等线" w:eastAsia="仿宋" w:cs="仿宋"/>
          <w:sz w:val="28"/>
          <w:szCs w:val="28"/>
          <w:lang w:val="en-US" w:eastAsia="zh-CN"/>
        </w:rPr>
        <w:t>，</w:t>
      </w:r>
      <w:r>
        <w:rPr>
          <w:rFonts w:hint="eastAsia" w:ascii="等线" w:hAnsi="等线" w:eastAsia="仿宋" w:cs="仿宋"/>
          <w:sz w:val="28"/>
          <w:szCs w:val="28"/>
          <w:u w:val="none"/>
          <w:lang w:val="en-US" w:eastAsia="zh-CN"/>
        </w:rPr>
        <w:t>通过现场方式</w:t>
      </w:r>
      <w:r>
        <w:rPr>
          <w:rFonts w:hint="eastAsia" w:ascii="等线" w:hAnsi="等线" w:eastAsia="仿宋" w:cs="仿宋"/>
          <w:sz w:val="28"/>
          <w:szCs w:val="28"/>
          <w:lang w:val="en-US" w:eastAsia="zh-CN"/>
        </w:rPr>
        <w:t>，将相关申请材料报我校的</w:t>
      </w:r>
      <w:r>
        <w:rPr>
          <w:rFonts w:hint="eastAsia" w:ascii="等线" w:hAnsi="等线" w:eastAsia="仿宋" w:cs="仿宋"/>
          <w:sz w:val="28"/>
          <w:szCs w:val="28"/>
          <w:u w:val="none"/>
          <w:lang w:val="en-US" w:eastAsia="zh-CN"/>
        </w:rPr>
        <w:t>敬业楼101办公室</w:t>
      </w:r>
      <w:r>
        <w:rPr>
          <w:rFonts w:hint="eastAsia" w:ascii="等线" w:hAnsi="等线" w:eastAsia="仿宋" w:cs="仿宋"/>
          <w:sz w:val="28"/>
          <w:szCs w:val="28"/>
          <w:lang w:val="en-US" w:eastAsia="zh-CN"/>
        </w:rPr>
        <w:t>审核。</w:t>
      </w:r>
      <w:r>
        <w:rPr>
          <w:rFonts w:hint="eastAsia" w:ascii="等线" w:hAnsi="等线" w:eastAsia="仿宋" w:cs="仿宋"/>
          <w:sz w:val="28"/>
          <w:szCs w:val="28"/>
        </w:rPr>
        <w:t>免试直接录取的考生不占用单招计划数，使用</w:t>
      </w:r>
      <w:r>
        <w:rPr>
          <w:rFonts w:hint="eastAsia" w:ascii="等线" w:hAnsi="等线" w:eastAsia="仿宋" w:cs="仿宋"/>
          <w:sz w:val="28"/>
          <w:szCs w:val="28"/>
          <w:lang w:eastAsia="zh-CN"/>
        </w:rPr>
        <w:t>我</w:t>
      </w:r>
      <w:r>
        <w:rPr>
          <w:rFonts w:hint="eastAsia" w:ascii="等线" w:hAnsi="等线" w:eastAsia="仿宋" w:cs="仿宋"/>
          <w:sz w:val="28"/>
          <w:szCs w:val="28"/>
        </w:rPr>
        <w:t>校统招计划，在统招录取前完成录取手续办理，有关审核程序和方法由省教育考试院另行规定。</w:t>
      </w:r>
    </w:p>
    <w:p>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SkillsCompetition）”中获奖的中国国家代表队选手可保送至高职院校与获奖赛事相应的专业就读，在校期间获“全国职业院校技能大赛”“中国职业技能大赛”</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以下简称“国赛”</w:t>
      </w:r>
      <w:r>
        <w:rPr>
          <w:rFonts w:hint="eastAsia" w:ascii="等线" w:hAnsi="等线" w:eastAsia="仿宋" w:cs="仿宋"/>
          <w:sz w:val="28"/>
          <w:szCs w:val="28"/>
          <w:lang w:eastAsia="zh-CN"/>
        </w:rPr>
        <w:t>）</w:t>
      </w:r>
      <w:r>
        <w:rPr>
          <w:rFonts w:hint="eastAsia" w:ascii="等线" w:hAnsi="等线" w:eastAsia="仿宋" w:cs="仿宋"/>
          <w:sz w:val="28"/>
          <w:szCs w:val="28"/>
        </w:rPr>
        <w:t>一等奖、二等奖、三等奖或“湖南省职业技能大赛”“湖南省职业院校技能竞赛”</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以下简称“省赛”</w:t>
      </w:r>
      <w:r>
        <w:rPr>
          <w:rFonts w:hint="eastAsia" w:ascii="等线" w:hAnsi="等线" w:eastAsia="仿宋" w:cs="仿宋"/>
          <w:sz w:val="28"/>
          <w:szCs w:val="28"/>
          <w:lang w:eastAsia="zh-CN"/>
        </w:rPr>
        <w:t>）</w:t>
      </w:r>
      <w:r>
        <w:rPr>
          <w:rFonts w:hint="eastAsia" w:ascii="等线" w:hAnsi="等线" w:eastAsia="仿宋" w:cs="仿宋"/>
          <w:sz w:val="28"/>
          <w:szCs w:val="28"/>
        </w:rPr>
        <w:t>一等奖（金牌）的，可免试</w:t>
      </w:r>
      <w:r>
        <w:rPr>
          <w:rFonts w:hint="eastAsia" w:ascii="等线" w:hAnsi="等线" w:eastAsia="仿宋" w:cs="仿宋"/>
          <w:sz w:val="28"/>
          <w:szCs w:val="28"/>
          <w:lang w:val="en-US" w:eastAsia="zh-CN"/>
        </w:rPr>
        <w:t>录取到我校就读。国赛一等奖、二等奖、三等奖、省赛一等奖</w:t>
      </w:r>
      <w:r>
        <w:rPr>
          <w:rFonts w:hint="eastAsia" w:ascii="等线" w:hAnsi="等线" w:eastAsia="仿宋" w:cs="仿宋"/>
          <w:sz w:val="28"/>
          <w:szCs w:val="28"/>
          <w:lang w:eastAsia="zh-CN"/>
        </w:rPr>
        <w:t>免试考生入学后分别可获得学校</w:t>
      </w:r>
      <w:r>
        <w:rPr>
          <w:rFonts w:hint="eastAsia" w:ascii="等线" w:hAnsi="等线" w:eastAsia="仿宋" w:cs="仿宋"/>
          <w:sz w:val="28"/>
          <w:szCs w:val="28"/>
          <w:lang w:val="en-US" w:eastAsia="zh-CN"/>
        </w:rPr>
        <w:t>3000、2000、1000、1000元的一次性奖励，多次获奖考生取最高等级，奖金不累计。</w:t>
      </w:r>
    </w:p>
    <w:p>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w:t>
      </w:r>
      <w:r>
        <w:rPr>
          <w:rFonts w:hint="eastAsia" w:ascii="等线" w:hAnsi="等线" w:eastAsia="仿宋" w:cs="仿宋"/>
          <w:sz w:val="28"/>
          <w:szCs w:val="28"/>
          <w:lang w:val="en-US" w:eastAsia="zh-CN"/>
        </w:rPr>
        <w:t>省赛</w:t>
      </w:r>
      <w:r>
        <w:rPr>
          <w:rFonts w:hint="eastAsia" w:ascii="等线" w:hAnsi="等线" w:eastAsia="仿宋" w:cs="仿宋"/>
          <w:sz w:val="28"/>
          <w:szCs w:val="28"/>
        </w:rPr>
        <w:t>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第二十一条 </w:t>
      </w:r>
      <w:r>
        <w:rPr>
          <w:rFonts w:hint="eastAsia" w:ascii="等线" w:hAnsi="等线" w:eastAsia="仿宋" w:cs="仿宋"/>
          <w:sz w:val="28"/>
          <w:szCs w:val="28"/>
          <w:lang w:val="en-US" w:eastAsia="zh-CN"/>
        </w:rPr>
        <w:t>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val="en-US" w:eastAsia="zh-CN"/>
        </w:rPr>
        <w:t>9</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w:t>
      </w:r>
      <w:r>
        <w:rPr>
          <w:rFonts w:hint="eastAsia" w:ascii="等线" w:hAnsi="等线" w:eastAsia="仿宋" w:cs="仿宋"/>
          <w:sz w:val="28"/>
          <w:szCs w:val="28"/>
          <w:lang w:val="en-US" w:eastAsia="zh-CN"/>
        </w:rPr>
        <w:t>4</w:t>
      </w:r>
      <w:r>
        <w:rPr>
          <w:rFonts w:hint="eastAsia" w:ascii="等线" w:hAnsi="等线" w:eastAsia="仿宋" w:cs="仿宋"/>
          <w:sz w:val="28"/>
          <w:szCs w:val="28"/>
        </w:rPr>
        <w:t>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val="en-US" w:eastAsia="zh-CN"/>
        </w:rPr>
        <w:t>6</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sz w:val="28"/>
          <w:szCs w:val="28"/>
          <w:lang w:val="en-US" w:eastAsia="zh-CN"/>
        </w:rPr>
        <w:t xml:space="preserve">第二十二条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sz w:val="28"/>
          <w:szCs w:val="28"/>
          <w:u w:val="none"/>
          <w:lang w:val="en-US" w:eastAsia="zh-CN"/>
        </w:rPr>
        <w:t>2025年3月4日8：00-17:00，免试考生无需缴纳。</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线上缴纳，缴费及准考证打印流程详见我校单招信息网。未在规定时间内缴费的，不得参加我校单招考试及录取。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w:t>
      </w:r>
      <w:bookmarkStart w:id="11" w:name="_GoBack"/>
      <w:bookmarkEnd w:id="11"/>
      <w:r>
        <w:rPr>
          <w:rFonts w:hint="eastAsia" w:ascii="仿宋" w:hAnsi="仿宋" w:eastAsia="仿宋" w:cs="仿宋"/>
          <w:color w:val="auto"/>
          <w:sz w:val="28"/>
          <w:szCs w:val="28"/>
          <w:u w:val="none"/>
          <w:lang w:val="en-US" w:eastAsia="zh-CN"/>
        </w:rPr>
        <w:t>年</w:t>
      </w:r>
      <w:r>
        <w:rPr>
          <w:rFonts w:hint="eastAsia" w:ascii="等线" w:hAnsi="等线" w:eastAsia="仿宋" w:cs="仿宋"/>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6</w:t>
      </w:r>
      <w:r>
        <w:rPr>
          <w:rFonts w:hint="eastAsia" w:ascii="仿宋" w:hAnsi="仿宋" w:eastAsia="仿宋" w:cs="仿宋"/>
          <w:color w:val="auto"/>
          <w:sz w:val="28"/>
          <w:szCs w:val="28"/>
          <w:u w:val="none"/>
          <w:lang w:val="en-US" w:eastAsia="zh-CN"/>
        </w:rPr>
        <w:t>日登录我校单招信息网自行打印准考证。第二志愿考生缴费及准考证打印时间学校另行公布。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打印准考证咨询电话：</w:t>
      </w:r>
      <w:r>
        <w:rPr>
          <w:rFonts w:hint="eastAsia" w:ascii="等线" w:hAnsi="等线" w:eastAsia="仿宋" w:cs="仿宋"/>
          <w:sz w:val="28"/>
          <w:szCs w:val="28"/>
          <w:u w:val="none"/>
          <w:lang w:val="en-US" w:eastAsia="zh-CN"/>
        </w:rPr>
        <w:t>0731-89768565</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w:t>
      </w:r>
      <w:r>
        <w:rPr>
          <w:rFonts w:hint="eastAsia" w:ascii="仿宋" w:hAnsi="仿宋" w:eastAsia="仿宋" w:cs="仿宋"/>
          <w:color w:val="auto"/>
          <w:sz w:val="28"/>
          <w:szCs w:val="28"/>
          <w:u w:val="none"/>
          <w:lang w:val="en-US" w:eastAsia="zh-CN"/>
        </w:rPr>
        <w:t>我校单招信息网</w:t>
      </w:r>
      <w:r>
        <w:rPr>
          <w:rFonts w:hint="eastAsia" w:ascii="仿宋" w:hAnsi="仿宋" w:eastAsia="仿宋" w:cs="仿宋"/>
          <w:color w:val="auto"/>
          <w:sz w:val="28"/>
          <w:szCs w:val="28"/>
          <w:u w:val="none"/>
        </w:rPr>
        <w:t>，网址</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http://jyzs.hncpu.com:8080/redirectPage/dzxxw</w:t>
      </w:r>
      <w:r>
        <w:rPr>
          <w:rFonts w:hint="eastAsia" w:ascii="等线" w:hAnsi="等线" w:eastAsia="仿宋" w:cs="仿宋"/>
          <w:sz w:val="28"/>
          <w:szCs w:val="28"/>
          <w:u w:val="none"/>
          <w:lang w:eastAsia="zh-CN"/>
        </w:rPr>
        <w:t>。</w:t>
      </w:r>
    </w:p>
    <w:p>
      <w:pPr>
        <w:numPr>
          <w:ilvl w:val="0"/>
          <w:numId w:val="0"/>
        </w:numPr>
        <w:spacing w:line="500" w:lineRule="exact"/>
        <w:ind w:firstLine="562" w:firstLineChars="200"/>
        <w:rPr>
          <w:rFonts w:hint="eastAsia" w:ascii="等线" w:hAnsi="等线" w:eastAsia="仿宋" w:cs="仿宋"/>
          <w:sz w:val="28"/>
          <w:szCs w:val="28"/>
          <w:lang w:eastAsia="zh-CN"/>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我校单招考试在省教育考试院的指导下，参照国家教育考试规定进行组织。在学校招生工作领导小组的统筹下，教务、二级学院共同组织考务工作。具体</w:t>
      </w:r>
      <w:r>
        <w:rPr>
          <w:rFonts w:hint="eastAsia" w:ascii="等线" w:hAnsi="等线" w:eastAsia="仿宋" w:cs="仿宋"/>
          <w:sz w:val="28"/>
          <w:szCs w:val="28"/>
        </w:rPr>
        <w:t>由</w:t>
      </w:r>
      <w:r>
        <w:rPr>
          <w:rFonts w:hint="eastAsia" w:ascii="等线" w:hAnsi="等线" w:eastAsia="仿宋" w:cs="仿宋"/>
          <w:sz w:val="28"/>
          <w:szCs w:val="28"/>
          <w:u w:val="none"/>
        </w:rPr>
        <w:t>教务处</w:t>
      </w:r>
      <w:r>
        <w:rPr>
          <w:rFonts w:hint="eastAsia" w:ascii="等线" w:hAnsi="等线" w:eastAsia="仿宋" w:cs="仿宋"/>
          <w:sz w:val="28"/>
          <w:szCs w:val="28"/>
        </w:rPr>
        <w:t>牵头组织命题，并负责其保密工作</w:t>
      </w:r>
      <w:r>
        <w:rPr>
          <w:rFonts w:hint="eastAsia" w:ascii="等线" w:hAnsi="等线" w:eastAsia="仿宋" w:cs="仿宋"/>
          <w:sz w:val="28"/>
          <w:szCs w:val="28"/>
          <w:lang w:eastAsia="zh-CN"/>
        </w:rPr>
        <w:t>；</w:t>
      </w:r>
      <w:r>
        <w:rPr>
          <w:rFonts w:hint="eastAsia" w:ascii="等线" w:hAnsi="等线" w:eastAsia="仿宋" w:cs="仿宋"/>
          <w:sz w:val="28"/>
          <w:szCs w:val="28"/>
        </w:rPr>
        <w:t>负责按国考要求制定具体的组考方案，根据报考人数合理安排考场并组织有序考试</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教务处</w:t>
      </w:r>
      <w:r>
        <w:rPr>
          <w:rFonts w:hint="eastAsia" w:ascii="等线" w:hAnsi="等线" w:eastAsia="仿宋" w:cs="仿宋"/>
          <w:sz w:val="28"/>
          <w:szCs w:val="28"/>
        </w:rPr>
        <w:t>组织相关专家参照湖南省普通高考评卷及登分工作有关要求</w:t>
      </w:r>
      <w:r>
        <w:rPr>
          <w:rFonts w:hint="eastAsia" w:ascii="等线" w:hAnsi="等线" w:eastAsia="仿宋" w:cs="仿宋"/>
          <w:sz w:val="28"/>
          <w:szCs w:val="28"/>
          <w:lang w:eastAsia="zh-CN"/>
        </w:rPr>
        <w:t>，</w:t>
      </w:r>
      <w:r>
        <w:rPr>
          <w:rFonts w:hint="eastAsia" w:ascii="等线" w:hAnsi="等线" w:eastAsia="仿宋" w:cs="仿宋"/>
          <w:sz w:val="28"/>
          <w:szCs w:val="28"/>
        </w:rPr>
        <w:t>制定科学合理的评判标准，加大信息公开及结果公示力度，确保考试评判工作公正、透明</w:t>
      </w:r>
      <w:r>
        <w:rPr>
          <w:rFonts w:hint="eastAsia" w:ascii="等线" w:hAnsi="等线" w:eastAsia="仿宋" w:cs="仿宋"/>
          <w:sz w:val="28"/>
          <w:szCs w:val="28"/>
          <w:lang w:eastAsia="zh-CN"/>
        </w:rPr>
        <w:t>。</w:t>
      </w:r>
    </w:p>
    <w:p>
      <w:pPr>
        <w:numPr>
          <w:ilvl w:val="-1"/>
          <w:numId w:val="0"/>
        </w:numPr>
        <w:spacing w:line="500" w:lineRule="exact"/>
        <w:ind w:firstLine="0"/>
        <w:rPr>
          <w:rFonts w:ascii="等线" w:hAnsi="等线" w:eastAsia="仿宋" w:cs="仿宋"/>
          <w:color w:val="auto"/>
          <w:sz w:val="28"/>
          <w:szCs w:val="28"/>
        </w:rPr>
      </w:pP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第二十四条 </w:t>
      </w:r>
      <w:r>
        <w:rPr>
          <w:rFonts w:hint="eastAsia" w:ascii="等线" w:hAnsi="等线" w:eastAsia="仿宋" w:cs="仿宋"/>
          <w:sz w:val="28"/>
          <w:szCs w:val="28"/>
          <w:lang w:val="en-US" w:eastAsia="zh-CN"/>
        </w:rPr>
        <w:t>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w:t>
      </w:r>
      <w:r>
        <w:rPr>
          <w:rFonts w:hint="eastAsia" w:ascii="等线" w:hAnsi="等线" w:eastAsia="仿宋" w:cs="仿宋"/>
          <w:sz w:val="28"/>
          <w:szCs w:val="28"/>
          <w:lang w:val="en-US" w:eastAsia="zh-CN"/>
        </w:rPr>
        <w:t>语文、数学、外语</w:t>
      </w:r>
      <w:r>
        <w:rPr>
          <w:rFonts w:hint="eastAsia" w:ascii="等线" w:hAnsi="等线" w:eastAsia="仿宋" w:cs="仿宋"/>
          <w:sz w:val="28"/>
          <w:szCs w:val="28"/>
        </w:rPr>
        <w:t>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w:t>
      </w:r>
      <w:r>
        <w:rPr>
          <w:rFonts w:hint="eastAsia" w:ascii="等线" w:hAnsi="等线" w:eastAsia="仿宋" w:cs="仿宋"/>
          <w:sz w:val="28"/>
          <w:szCs w:val="28"/>
          <w:lang w:val="en-US" w:eastAsia="zh-CN"/>
        </w:rPr>
        <w:t>通</w:t>
      </w:r>
      <w:r>
        <w:rPr>
          <w:rFonts w:hint="eastAsia" w:ascii="等线" w:hAnsi="等线" w:eastAsia="仿宋" w:cs="仿宋"/>
          <w:sz w:val="28"/>
          <w:szCs w:val="28"/>
        </w:rPr>
        <w:t>高</w:t>
      </w:r>
      <w:r>
        <w:rPr>
          <w:rFonts w:hint="eastAsia" w:ascii="等线" w:hAnsi="等线" w:eastAsia="仿宋" w:cs="仿宋"/>
          <w:sz w:val="28"/>
          <w:szCs w:val="28"/>
          <w:lang w:val="en-US" w:eastAsia="zh-CN"/>
        </w:rPr>
        <w:t>中毕业考生</w:t>
      </w:r>
      <w:r>
        <w:rPr>
          <w:rFonts w:ascii="等线" w:hAnsi="等线" w:eastAsia="仿宋" w:cs="仿宋"/>
          <w:sz w:val="28"/>
          <w:szCs w:val="28"/>
        </w:rPr>
        <w:t>必须按照</w:t>
      </w:r>
      <w:r>
        <w:rPr>
          <w:rFonts w:hint="eastAsia" w:ascii="等线" w:hAnsi="等线" w:eastAsia="仿宋" w:cs="仿宋"/>
          <w:sz w:val="28"/>
          <w:szCs w:val="28"/>
          <w:lang w:val="en-US" w:eastAsia="zh-CN"/>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w:t>
      </w:r>
      <w:r>
        <w:rPr>
          <w:rFonts w:hint="eastAsia" w:ascii="等线" w:hAnsi="等线" w:eastAsia="仿宋" w:cs="仿宋"/>
          <w:sz w:val="28"/>
          <w:szCs w:val="28"/>
          <w:lang w:val="en-US" w:eastAsia="zh-CN"/>
        </w:rPr>
        <w:t>及</w:t>
      </w:r>
      <w:r>
        <w:rPr>
          <w:rFonts w:ascii="等线" w:hAnsi="等线" w:eastAsia="仿宋" w:cs="仿宋"/>
          <w:sz w:val="28"/>
          <w:szCs w:val="28"/>
        </w:rPr>
        <w:t>录取。</w:t>
      </w:r>
    </w:p>
    <w:p>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第二十五条 </w:t>
      </w:r>
      <w:r>
        <w:rPr>
          <w:rFonts w:hint="eastAsia" w:ascii="等线" w:hAnsi="等线" w:eastAsia="仿宋" w:cs="仿宋"/>
          <w:sz w:val="28"/>
          <w:szCs w:val="28"/>
          <w:lang w:val="en-US" w:eastAsia="zh-CN"/>
        </w:rPr>
        <w:t>单招录取首先对报考单列计划的考生（第三类、第四类、第五类考生）进行录取，单列计划只录取第一志愿报考的考生，如有剩余单列计划则转为普通类计划录取第一类、第二类考生。</w:t>
      </w:r>
    </w:p>
    <w:p>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第二十六条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val="en-US" w:eastAsia="zh-CN"/>
        </w:rPr>
        <w:t>语文、数学、外语</w:t>
      </w:r>
      <w:r>
        <w:rPr>
          <w:rFonts w:hint="eastAsia" w:ascii="等线" w:hAnsi="等线" w:eastAsia="仿宋" w:cs="仿宋"/>
          <w:sz w:val="28"/>
          <w:szCs w:val="28"/>
        </w:rPr>
        <w:t>有效成绩）、</w:t>
      </w:r>
      <w:r>
        <w:rPr>
          <w:rFonts w:hint="eastAsia" w:ascii="等线" w:hAnsi="等线" w:eastAsia="仿宋" w:cs="仿宋"/>
          <w:sz w:val="28"/>
          <w:szCs w:val="28"/>
          <w:lang w:eastAsia="zh-CN"/>
        </w:rPr>
        <w:t>第二类考生</w:t>
      </w:r>
      <w:r>
        <w:rPr>
          <w:rFonts w:hint="eastAsia" w:ascii="等线" w:hAnsi="等线" w:eastAsia="仿宋" w:cs="仿宋"/>
          <w:sz w:val="28"/>
          <w:szCs w:val="28"/>
        </w:rPr>
        <w:t>（含普通高中学业水平合格性考试有</w:t>
      </w:r>
      <w:r>
        <w:rPr>
          <w:rFonts w:hint="eastAsia" w:ascii="等线" w:hAnsi="等线" w:eastAsia="仿宋" w:cs="仿宋"/>
          <w:sz w:val="28"/>
          <w:szCs w:val="28"/>
          <w:lang w:val="en-US" w:eastAsia="zh-CN"/>
        </w:rPr>
        <w:t>语文、数学、外语</w:t>
      </w:r>
      <w:r>
        <w:rPr>
          <w:rFonts w:hint="eastAsia" w:ascii="等线" w:hAnsi="等线" w:eastAsia="仿宋" w:cs="仿宋"/>
          <w:color w:val="FF0000"/>
          <w:sz w:val="28"/>
          <w:szCs w:val="28"/>
          <w:lang w:val="en-US" w:eastAsia="zh-CN"/>
        </w:rPr>
        <w:t>有</w:t>
      </w:r>
      <w:r>
        <w:rPr>
          <w:rFonts w:hint="eastAsia" w:ascii="等线" w:hAnsi="等线" w:eastAsia="仿宋" w:cs="仿宋"/>
          <w:color w:val="FF0000"/>
          <w:sz w:val="28"/>
          <w:szCs w:val="28"/>
        </w:rPr>
        <w:t>效</w:t>
      </w:r>
      <w:r>
        <w:rPr>
          <w:rFonts w:hint="eastAsia" w:ascii="等线" w:hAnsi="等线" w:eastAsia="仿宋" w:cs="仿宋"/>
          <w:sz w:val="28"/>
          <w:szCs w:val="28"/>
        </w:rPr>
        <w:t>成绩不全的应届普通高中考生</w:t>
      </w:r>
      <w:r>
        <w:rPr>
          <w:rFonts w:hint="eastAsia" w:ascii="等线" w:hAnsi="等线" w:eastAsia="仿宋" w:cs="仿宋"/>
          <w:sz w:val="28"/>
          <w:szCs w:val="28"/>
          <w:lang w:eastAsia="zh-CN"/>
        </w:rPr>
        <w:t>）</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录取第一类、第二类学生</w:t>
      </w:r>
      <w:r>
        <w:rPr>
          <w:rFonts w:hint="eastAsia" w:ascii="等线" w:hAnsi="等线" w:eastAsia="仿宋" w:cs="仿宋"/>
          <w:sz w:val="28"/>
          <w:szCs w:val="28"/>
        </w:rPr>
        <w:t>，如</w:t>
      </w:r>
      <w:r>
        <w:rPr>
          <w:rFonts w:hint="eastAsia" w:ascii="等线" w:hAnsi="等线" w:eastAsia="仿宋" w:cs="仿宋"/>
          <w:sz w:val="28"/>
          <w:szCs w:val="28"/>
          <w:lang w:eastAsia="zh-CN"/>
        </w:rPr>
        <w:t>第一类考生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根据同比例公</w:t>
      </w:r>
      <w:r>
        <w:rPr>
          <w:rFonts w:hint="eastAsia" w:ascii="等线" w:hAnsi="等线" w:eastAsia="仿宋" w:cs="仿宋"/>
          <w:sz w:val="28"/>
          <w:szCs w:val="28"/>
          <w:lang w:val="en-US" w:eastAsia="zh-CN"/>
        </w:rPr>
        <w:t>式</w:t>
      </w:r>
      <w:r>
        <w:rPr>
          <w:rFonts w:hint="eastAsia" w:ascii="等线" w:hAnsi="等线" w:eastAsia="仿宋" w:cs="仿宋"/>
          <w:sz w:val="28"/>
          <w:szCs w:val="28"/>
          <w:lang w:eastAsia="zh-CN"/>
        </w:rPr>
        <w:t>计算可得第一类、第二类考生的计划数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。第一类考生计划数计算公式：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单招录取工作按照“学校负责、招办监督”的原则进行。各类别录取时，按照</w:t>
      </w:r>
      <w:r>
        <w:rPr>
          <w:rFonts w:hint="eastAsia" w:ascii="等线" w:hAnsi="等线" w:eastAsia="仿宋" w:cs="仿宋"/>
          <w:sz w:val="28"/>
          <w:szCs w:val="28"/>
          <w:u w:val="none"/>
          <w:lang w:val="en-US" w:eastAsia="zh-CN"/>
        </w:rPr>
        <w:t>志愿优先的方式</w:t>
      </w:r>
      <w:r>
        <w:rPr>
          <w:rFonts w:hint="eastAsia" w:ascii="等线" w:hAnsi="等线" w:eastAsia="仿宋" w:cs="仿宋"/>
          <w:sz w:val="28"/>
          <w:szCs w:val="28"/>
          <w:lang w:val="en-US" w:eastAsia="zh-CN"/>
        </w:rPr>
        <w:t>进行。各类别按照“公平竞争、公正选拔、分类划线、公开透明”的原则，结合各专业的第一志愿报考我校的考生的参考人数及计划比例划定录取控制线。遵循各类别考生录取率基本相同的要求，按考生专业志愿从高分到低分择优录取。缺额专业将在专业组内按总分进行调剂录取。第一志愿报考我校的考生录取结束后，若仍有部分专业有剩余招生计划，将向社会公布有缺额的专业及计划数，并针对第二志愿填报了我校有缺额的专业（或填报了服从专业调剂）且未被第一志愿学校录取的考生组织考试和录取。第二志愿各类别分专业招生计划的确定原则、考试要求及录取规则等与第一志愿的相关规定一致。</w:t>
      </w:r>
    </w:p>
    <w:p>
      <w:pPr>
        <w:widowControl/>
        <w:shd w:val="clear" w:color="auto" w:fill="FFFFFF"/>
        <w:spacing w:line="500" w:lineRule="exact"/>
        <w:ind w:firstLine="560" w:firstLineChars="200"/>
        <w:jc w:val="left"/>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1</w:t>
      </w:r>
      <w:r>
        <w:rPr>
          <w:rFonts w:hint="eastAsia" w:ascii="等线" w:hAnsi="等线" w:eastAsia="仿宋" w:cs="仿宋"/>
          <w:sz w:val="28"/>
          <w:szCs w:val="28"/>
          <w:lang w:eastAsia="zh-CN"/>
        </w:rPr>
        <w:t>.</w:t>
      </w:r>
      <w:r>
        <w:rPr>
          <w:rFonts w:hint="eastAsia" w:ascii="等线" w:hAnsi="等线" w:eastAsia="仿宋" w:cs="仿宋"/>
          <w:sz w:val="28"/>
          <w:szCs w:val="28"/>
        </w:rPr>
        <w:t>退役军人</w:t>
      </w:r>
      <w:r>
        <w:rPr>
          <w:rFonts w:hint="eastAsia" w:ascii="等线" w:hAnsi="等线" w:eastAsia="仿宋" w:cs="仿宋"/>
          <w:sz w:val="28"/>
          <w:szCs w:val="28"/>
          <w:lang w:eastAsia="zh-CN"/>
        </w:rPr>
        <w:t>考生。</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避免个别专业扎堆报考，造成给后续普通类考生计划不足，各专业录取退役军人考生的人数不超过2人。</w:t>
      </w:r>
    </w:p>
    <w:p>
      <w:pPr>
        <w:widowControl/>
        <w:shd w:val="clear" w:color="auto" w:fill="FFFFFF"/>
        <w:spacing w:line="500" w:lineRule="exact"/>
        <w:ind w:firstLine="560" w:firstLineChars="200"/>
        <w:jc w:val="left"/>
        <w:rPr>
          <w:rFonts w:hint="eastAsia" w:ascii="等线" w:hAnsi="等线" w:eastAsia="仿宋" w:cs="仿宋"/>
          <w:sz w:val="28"/>
          <w:szCs w:val="28"/>
          <w:lang w:eastAsia="zh-CN"/>
        </w:rPr>
      </w:pPr>
      <w:r>
        <w:rPr>
          <w:rFonts w:hint="eastAsia" w:ascii="等线" w:hAnsi="等线" w:eastAsia="仿宋" w:cs="仿宋"/>
          <w:sz w:val="28"/>
          <w:szCs w:val="28"/>
          <w:lang w:val="en-US" w:eastAsia="zh-CN"/>
        </w:rPr>
        <w:t>2</w:t>
      </w:r>
      <w:r>
        <w:rPr>
          <w:rFonts w:hint="eastAsia" w:ascii="等线" w:hAnsi="等线" w:eastAsia="仿宋" w:cs="仿宋"/>
          <w:sz w:val="28"/>
          <w:szCs w:val="28"/>
          <w:lang w:eastAsia="zh-CN"/>
        </w:rPr>
        <w:t>.</w:t>
      </w:r>
      <w:r>
        <w:rPr>
          <w:rFonts w:hint="eastAsia" w:ascii="等线" w:hAnsi="等线" w:eastAsia="仿宋" w:cs="仿宋"/>
          <w:sz w:val="28"/>
          <w:szCs w:val="28"/>
        </w:rPr>
        <w:t>其他社会人员（农民工、下岗失业人员、新型职业农民和企业在岗人员）</w:t>
      </w:r>
      <w:r>
        <w:rPr>
          <w:rFonts w:hint="eastAsia" w:ascii="等线" w:hAnsi="等线" w:eastAsia="仿宋" w:cs="仿宋"/>
          <w:sz w:val="28"/>
          <w:szCs w:val="28"/>
          <w:lang w:eastAsia="zh-CN"/>
        </w:rPr>
        <w:t>：</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lang w:eastAsia="zh-CN"/>
        </w:rPr>
        <w:t>。</w:t>
      </w:r>
    </w:p>
    <w:p>
      <w:pPr>
        <w:widowControl/>
        <w:shd w:val="clear" w:color="auto" w:fill="FFFFFF"/>
        <w:spacing w:line="500" w:lineRule="exact"/>
        <w:ind w:firstLine="560" w:firstLineChars="200"/>
        <w:jc w:val="left"/>
        <w:rPr>
          <w:rFonts w:hint="eastAsia" w:ascii="等线" w:hAnsi="等线" w:eastAsia="仿宋" w:cs="仿宋"/>
          <w:color w:val="ED7D31" w:themeColor="accent2"/>
          <w:sz w:val="28"/>
          <w:szCs w:val="28"/>
          <w:lang w:eastAsia="zh-CN"/>
          <w14:textFill>
            <w14:solidFill>
              <w14:schemeClr w14:val="accent2"/>
            </w14:solidFill>
          </w14:textFill>
        </w:rPr>
      </w:pPr>
      <w:r>
        <w:rPr>
          <w:rFonts w:hint="eastAsia" w:ascii="等线" w:hAnsi="等线" w:eastAsia="仿宋" w:cs="仿宋"/>
          <w:sz w:val="28"/>
          <w:szCs w:val="28"/>
          <w:lang w:val="en-US" w:eastAsia="zh-CN"/>
        </w:rPr>
        <w:t>3</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艺术体育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rPr>
        <w:t>依据考生所填报项目按</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具体规则</w:t>
      </w:r>
      <w:r>
        <w:rPr>
          <w:rFonts w:hint="eastAsia" w:ascii="等线" w:hAnsi="等线" w:eastAsia="仿宋" w:cs="仿宋"/>
          <w:sz w:val="28"/>
          <w:szCs w:val="28"/>
          <w:lang w:eastAsia="zh-CN"/>
        </w:rPr>
        <w:t>详见《</w:t>
      </w:r>
      <w:r>
        <w:rPr>
          <w:rFonts w:hint="eastAsia" w:ascii="等线" w:hAnsi="等线" w:eastAsia="仿宋" w:cs="仿宋"/>
          <w:sz w:val="28"/>
          <w:szCs w:val="28"/>
          <w:u w:val="none"/>
          <w:lang w:val="en-US" w:eastAsia="zh-CN"/>
        </w:rPr>
        <w:t>长沙商贸旅游职业技术学院</w:t>
      </w:r>
      <w:r>
        <w:rPr>
          <w:rFonts w:hint="eastAsia" w:ascii="等线" w:hAnsi="等线" w:eastAsia="仿宋" w:cs="仿宋"/>
          <w:sz w:val="28"/>
          <w:szCs w:val="28"/>
          <w:lang w:eastAsia="zh-CN"/>
        </w:rPr>
        <w:t>2024年艺术、体育特长生高职单招方案》。</w:t>
      </w:r>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避免个别专业扎堆报考，造成后续普通类考生计划不足，各专业录取特长生考生的人数不超过2人。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sz w:val="28"/>
          <w:szCs w:val="28"/>
        </w:rPr>
      </w:pPr>
      <w:r>
        <w:rPr>
          <w:rFonts w:hint="eastAsia" w:ascii="等线" w:hAnsi="等线" w:eastAsia="仿宋" w:cs="仿宋"/>
          <w:sz w:val="28"/>
          <w:szCs w:val="28"/>
          <w:lang w:val="en-US" w:eastAsia="zh-CN"/>
        </w:rPr>
        <w:t>4.</w:t>
      </w:r>
      <w:r>
        <w:rPr>
          <w:rFonts w:hint="eastAsia" w:ascii="等线" w:hAnsi="等线" w:eastAsia="仿宋" w:cs="仿宋"/>
          <w:sz w:val="28"/>
          <w:szCs w:val="28"/>
        </w:rPr>
        <w:t>普通类考生</w:t>
      </w:r>
      <w:r>
        <w:rPr>
          <w:rFonts w:hint="eastAsia" w:ascii="等线" w:hAnsi="等线" w:eastAsia="仿宋" w:cs="仿宋"/>
          <w:sz w:val="28"/>
          <w:szCs w:val="28"/>
          <w:lang w:eastAsia="zh-CN"/>
        </w:rPr>
        <w:t>。</w:t>
      </w:r>
      <w:r>
        <w:rPr>
          <w:rFonts w:hint="eastAsia" w:ascii="等线" w:hAnsi="等线" w:eastAsia="仿宋" w:cs="仿宋"/>
          <w:sz w:val="28"/>
          <w:szCs w:val="28"/>
        </w:rPr>
        <w:t>根据各专业分类别招生计划数，依据考生所填报专业按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从高分到低分进行录取，录满为止。如遇生源不足，则对该专业所对应专业组内未录取且服从调剂的考生按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pPr>
        <w:widowControl/>
        <w:shd w:val="clear" w:color="auto" w:fill="FFFFFF"/>
        <w:spacing w:line="500" w:lineRule="exact"/>
        <w:ind w:firstLine="562" w:firstLineChars="200"/>
        <w:jc w:val="left"/>
        <w:rPr>
          <w:rFonts w:hint="eastAsia"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 xml:space="preserve">第二十八条 </w:t>
      </w:r>
      <w:r>
        <w:rPr>
          <w:rFonts w:hint="eastAsia" w:ascii="等线" w:hAnsi="等线" w:eastAsia="仿宋" w:cs="仿宋"/>
          <w:sz w:val="28"/>
          <w:szCs w:val="28"/>
          <w:lang w:val="en-US" w:eastAsia="zh-CN"/>
        </w:rPr>
        <w:t>对于末位同分的考生，依据以下排序原则进行录取。同分排序规则为</w:t>
      </w:r>
      <w:r>
        <w:rPr>
          <w:rFonts w:hint="eastAsia" w:ascii="等线" w:hAnsi="等线" w:eastAsia="仿宋" w:cs="仿宋"/>
          <w:sz w:val="28"/>
          <w:szCs w:val="28"/>
          <w:u w:val="none"/>
          <w:lang w:val="en-US" w:eastAsia="zh-CN"/>
        </w:rPr>
        <w:t>：按职业技能测试成绩、文化素质测试成绩排列。如上述成绩依旧相同，第一、二、五类考生按语、数、外成绩排列，第三、四类考生需来校进行加试后再依据加试成绩进行排名录取。</w:t>
      </w:r>
    </w:p>
    <w:p>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第二十九条 </w:t>
      </w:r>
      <w:r>
        <w:rPr>
          <w:rFonts w:hint="eastAsia" w:ascii="等线" w:hAnsi="等线" w:eastAsia="仿宋" w:cs="仿宋"/>
          <w:sz w:val="28"/>
          <w:szCs w:val="28"/>
          <w:lang w:val="en-US" w:eastAsia="zh-CN"/>
        </w:rPr>
        <w:t>我校将通过官网（http://jyzs.hncpu.com:8080</w:t>
      </w:r>
      <w:r>
        <w:rPr>
          <w:rFonts w:hint="eastAsia" w:ascii="等线" w:hAnsi="等线" w:eastAsia="仿宋" w:cs="仿宋"/>
          <w:sz w:val="28"/>
          <w:szCs w:val="28"/>
          <w:u w:val="none"/>
          <w:lang w:val="en-US" w:eastAsia="zh-CN"/>
        </w:rPr>
        <w:t>）</w:t>
      </w:r>
      <w:r>
        <w:rPr>
          <w:rFonts w:hint="eastAsia" w:ascii="等线" w:hAnsi="等线" w:eastAsia="仿宋" w:cs="仿宋"/>
          <w:sz w:val="28"/>
          <w:szCs w:val="28"/>
          <w:lang w:val="en-US" w:eastAsia="zh-CN"/>
        </w:rPr>
        <w:t>发布单招拟录取名单，拟录取考生需在我校规定时间内办理相关录取确认手续。</w:t>
      </w:r>
    </w:p>
    <w:p>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none"/>
        </w:rPr>
        <w:t>特殊情况需转专业的，</w:t>
      </w:r>
      <w:r>
        <w:rPr>
          <w:rFonts w:hint="eastAsia" w:ascii="等线" w:hAnsi="等线" w:eastAsia="仿宋" w:cs="仿宋"/>
          <w:sz w:val="28"/>
          <w:szCs w:val="28"/>
          <w:u w:val="none"/>
          <w:lang w:eastAsia="zh-CN"/>
        </w:rPr>
        <w:t>按照我校</w:t>
      </w:r>
      <w:r>
        <w:rPr>
          <w:rFonts w:hint="eastAsia" w:ascii="等线" w:hAnsi="等线" w:eastAsia="仿宋" w:cs="仿宋"/>
          <w:sz w:val="28"/>
          <w:szCs w:val="28"/>
          <w:u w:val="none"/>
          <w:lang w:val="en-US" w:eastAsia="zh-CN"/>
        </w:rPr>
        <w:t>学校转专业政策在</w:t>
      </w:r>
      <w:r>
        <w:rPr>
          <w:rFonts w:hint="eastAsia" w:ascii="等线" w:hAnsi="等线" w:eastAsia="仿宋" w:cs="仿宋"/>
          <w:sz w:val="28"/>
          <w:szCs w:val="28"/>
          <w:u w:val="none"/>
        </w:rPr>
        <w:t>本校当年单招专业范围内转换</w:t>
      </w:r>
      <w:r>
        <w:rPr>
          <w:rFonts w:hint="eastAsia" w:ascii="等线" w:hAnsi="等线" w:eastAsia="仿宋" w:cs="仿宋"/>
          <w:sz w:val="28"/>
          <w:szCs w:val="28"/>
          <w:u w:val="none"/>
          <w:lang w:eastAsia="zh-CN"/>
        </w:rPr>
        <w:t>。</w:t>
      </w:r>
    </w:p>
    <w:p>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第三十二条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第三十三条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在学校纪委全程监督检查下进行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none"/>
          <w:lang w:val="en-US" w:eastAsia="zh-CN"/>
        </w:rPr>
        <w:t>0731-89768467</w:t>
      </w:r>
      <w:r>
        <w:rPr>
          <w:rFonts w:hint="eastAsia" w:ascii="等线" w:hAnsi="等线" w:eastAsia="仿宋" w:cs="仿宋"/>
          <w:sz w:val="28"/>
          <w:szCs w:val="28"/>
        </w:rPr>
        <w:t>。</w:t>
      </w:r>
    </w:p>
    <w:p>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pPr>
        <w:pStyle w:val="2"/>
        <w:numPr>
          <w:ilvl w:val="0"/>
          <w:numId w:val="0"/>
        </w:numPr>
        <w:shd w:val="clear" w:color="auto" w:fill="FFFFFF"/>
        <w:spacing w:line="500" w:lineRule="exact"/>
        <w:ind w:firstLine="562" w:firstLineChars="200"/>
        <w:rPr>
          <w:rFonts w:hint="default" w:ascii="等线" w:hAnsi="等线" w:eastAsia="仿宋" w:cs="仿宋"/>
          <w:sz w:val="28"/>
          <w:szCs w:val="28"/>
          <w:lang w:val="en-US" w:eastAsia="zh-CN"/>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三十八</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三十九</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pPr>
        <w:pStyle w:val="2"/>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pPr>
        <w:pStyle w:val="2"/>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通信地址</w:t>
      </w:r>
      <w:r>
        <w:rPr>
          <w:rFonts w:hint="eastAsia" w:ascii="等线" w:hAnsi="等线" w:eastAsia="仿宋" w:cs="仿宋"/>
          <w:sz w:val="28"/>
          <w:szCs w:val="28"/>
          <w:u w:val="none"/>
        </w:rPr>
        <w:t>：长沙市雨花区圭白路16号。</w:t>
      </w:r>
    </w:p>
    <w:p>
      <w:pPr>
        <w:pStyle w:val="2"/>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邮政编码</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410016</w:t>
      </w:r>
    </w:p>
    <w:p>
      <w:pPr>
        <w:pStyle w:val="2"/>
        <w:ind w:firstLine="560" w:firstLineChars="200"/>
        <w:rPr>
          <w:rFonts w:hint="default" w:ascii="等线" w:hAnsi="等线" w:eastAsia="仿宋" w:cs="仿宋"/>
          <w:sz w:val="28"/>
          <w:szCs w:val="28"/>
          <w:u w:val="single"/>
          <w:lang w:val="en-US" w:eastAsia="zh-CN"/>
        </w:rPr>
      </w:pPr>
      <w:r>
        <w:rPr>
          <w:rFonts w:hint="eastAsia" w:ascii="等线" w:hAnsi="等线" w:eastAsia="仿宋" w:cs="仿宋"/>
          <w:sz w:val="28"/>
          <w:szCs w:val="28"/>
        </w:rPr>
        <w:t>招生咨询电话：</w:t>
      </w:r>
      <w:r>
        <w:rPr>
          <w:rFonts w:hint="eastAsia" w:ascii="等线" w:hAnsi="等线" w:eastAsia="仿宋" w:cs="仿宋"/>
          <w:sz w:val="28"/>
          <w:szCs w:val="28"/>
          <w:u w:val="none"/>
          <w:lang w:val="en-US" w:eastAsia="zh-CN"/>
        </w:rPr>
        <w:t>0731-89768565</w:t>
      </w:r>
    </w:p>
    <w:p>
      <w:pPr>
        <w:pStyle w:val="2"/>
        <w:ind w:firstLine="560" w:firstLineChars="200"/>
        <w:rPr>
          <w:rFonts w:hint="default" w:ascii="等线" w:hAnsi="等线" w:eastAsia="仿宋" w:cs="仿宋"/>
          <w:sz w:val="28"/>
          <w:szCs w:val="28"/>
          <w:u w:val="single"/>
          <w:lang w:val="en-US" w:eastAsia="zh-CN"/>
        </w:rPr>
      </w:pPr>
      <w:r>
        <w:rPr>
          <w:rFonts w:hint="eastAsia" w:ascii="等线" w:hAnsi="等线" w:eastAsia="仿宋" w:cs="仿宋"/>
          <w:b w:val="0"/>
          <w:bCs w:val="0"/>
          <w:kern w:val="2"/>
          <w:sz w:val="28"/>
          <w:szCs w:val="28"/>
        </w:rPr>
        <w:t>招生咨询邮箱：</w:t>
      </w:r>
      <w:r>
        <w:rPr>
          <w:rFonts w:hint="eastAsia" w:ascii="仿宋" w:hAnsi="仿宋" w:eastAsia="仿宋" w:cs="仿宋"/>
          <w:sz w:val="32"/>
          <w:szCs w:val="32"/>
          <w:shd w:val="clear" w:color="auto" w:fill="FFFFFF"/>
          <w:lang w:val="en-US" w:eastAsia="zh-CN"/>
        </w:rPr>
        <w:t>158399915@qq.com</w:t>
      </w:r>
    </w:p>
    <w:p>
      <w:pPr>
        <w:pStyle w:val="2"/>
        <w:ind w:firstLine="560" w:firstLineChars="200"/>
        <w:rPr>
          <w:rFonts w:hint="default" w:ascii="等线" w:hAnsi="等线" w:eastAsia="仿宋" w:cs="仿宋"/>
          <w:b w:val="0"/>
          <w:bCs w:val="0"/>
          <w:kern w:val="2"/>
          <w:sz w:val="28"/>
          <w:szCs w:val="28"/>
          <w:lang w:val="en-US" w:eastAsia="zh-CN"/>
        </w:rPr>
      </w:pPr>
      <w:r>
        <w:rPr>
          <w:rFonts w:hint="eastAsia" w:ascii="等线" w:hAnsi="等线" w:eastAsia="仿宋" w:cs="仿宋"/>
          <w:b w:val="0"/>
          <w:bCs w:val="0"/>
          <w:kern w:val="2"/>
          <w:sz w:val="28"/>
          <w:szCs w:val="28"/>
          <w:lang w:val="en-US" w:eastAsia="zh-CN"/>
        </w:rPr>
        <w:t>招生</w:t>
      </w:r>
      <w:r>
        <w:rPr>
          <w:rFonts w:hint="eastAsia" w:ascii="等线" w:hAnsi="等线" w:eastAsia="仿宋" w:cs="仿宋"/>
          <w:b w:val="0"/>
          <w:bCs w:val="0"/>
          <w:kern w:val="2"/>
          <w:sz w:val="28"/>
          <w:szCs w:val="28"/>
        </w:rPr>
        <w:t>信息发布网址</w:t>
      </w:r>
      <w:r>
        <w:rPr>
          <w:rFonts w:hint="eastAsia" w:ascii="等线" w:hAnsi="等线" w:eastAsia="仿宋" w:cs="仿宋"/>
          <w:b w:val="0"/>
          <w:bCs w:val="0"/>
          <w:kern w:val="2"/>
          <w:sz w:val="28"/>
          <w:szCs w:val="28"/>
          <w:u w:val="none"/>
        </w:rPr>
        <w:t>：</w:t>
      </w:r>
      <w:r>
        <w:rPr>
          <w:rFonts w:hint="eastAsia" w:ascii="等线" w:hAnsi="等线" w:eastAsia="仿宋" w:cs="仿宋"/>
          <w:b w:val="0"/>
          <w:bCs w:val="0"/>
          <w:kern w:val="2"/>
          <w:sz w:val="28"/>
          <w:szCs w:val="28"/>
          <w:u w:val="none"/>
          <w:lang w:val="en-US" w:eastAsia="zh-CN"/>
        </w:rPr>
        <w:t> http://jyzs.hncpu.com:8080/</w:t>
      </w:r>
    </w:p>
    <w:p>
      <w:pPr>
        <w:pStyle w:val="9"/>
        <w:shd w:val="clear" w:color="auto" w:fill="FFFFFF"/>
        <w:spacing w:before="0" w:beforeAutospacing="0" w:after="0" w:afterAutospacing="0" w:line="500" w:lineRule="exact"/>
        <w:ind w:firstLine="560" w:firstLineChars="200"/>
        <w:rPr>
          <w:rFonts w:hint="default" w:ascii="等线" w:hAnsi="等线" w:eastAsia="仿宋" w:cs="仿宋"/>
          <w:kern w:val="2"/>
          <w:sz w:val="28"/>
          <w:szCs w:val="28"/>
          <w:lang w:val="en-US" w:eastAsia="zh-CN"/>
        </w:rPr>
      </w:pPr>
      <w:r>
        <w:rPr>
          <w:rFonts w:hint="eastAsia" w:ascii="等线" w:hAnsi="等线" w:eastAsia="仿宋" w:cs="仿宋"/>
          <w:b w:val="0"/>
          <w:bCs w:val="0"/>
          <w:kern w:val="2"/>
          <w:sz w:val="28"/>
          <w:szCs w:val="28"/>
        </w:rPr>
        <w:t>监督投诉电话</w:t>
      </w:r>
      <w:r>
        <w:rPr>
          <w:rFonts w:hint="eastAsia" w:ascii="等线" w:hAnsi="等线" w:eastAsia="仿宋" w:cs="仿宋"/>
          <w:b w:val="0"/>
          <w:bCs w:val="0"/>
          <w:kern w:val="2"/>
          <w:sz w:val="28"/>
          <w:szCs w:val="28"/>
          <w:u w:val="none"/>
        </w:rPr>
        <w:t>：</w:t>
      </w:r>
      <w:r>
        <w:rPr>
          <w:rFonts w:hint="eastAsia" w:ascii="等线" w:hAnsi="等线" w:eastAsia="仿宋" w:cs="仿宋"/>
          <w:b w:val="0"/>
          <w:bCs w:val="0"/>
          <w:kern w:val="2"/>
          <w:sz w:val="28"/>
          <w:szCs w:val="28"/>
          <w:u w:val="none"/>
          <w:lang w:val="en-US" w:eastAsia="zh-CN"/>
        </w:rPr>
        <w:t>0731-89768467</w:t>
      </w:r>
    </w:p>
    <w:p>
      <w:pPr>
        <w:numPr>
          <w:ilvl w:val="0"/>
          <w:numId w:val="0"/>
        </w:num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kern w:val="2"/>
          <w:sz w:val="28"/>
          <w:szCs w:val="28"/>
          <w:lang w:eastAsia="zh-CN"/>
        </w:rPr>
        <w:t>第四十</w:t>
      </w:r>
      <w:r>
        <w:rPr>
          <w:rFonts w:hint="eastAsia" w:ascii="等线" w:hAnsi="等线" w:eastAsia="仿宋" w:cs="仿宋"/>
          <w:b/>
          <w:bCs/>
          <w:kern w:val="2"/>
          <w:sz w:val="28"/>
          <w:szCs w:val="28"/>
          <w:lang w:val="en-US" w:eastAsia="zh-CN"/>
        </w:rPr>
        <w:t>三</w:t>
      </w:r>
      <w:r>
        <w:rPr>
          <w:rFonts w:hint="eastAsia" w:ascii="等线" w:hAnsi="等线" w:eastAsia="仿宋" w:cs="仿宋"/>
          <w:b/>
          <w:bCs/>
          <w:kern w:val="2"/>
          <w:sz w:val="28"/>
          <w:szCs w:val="28"/>
          <w:lang w:eastAsia="zh-CN"/>
        </w:rPr>
        <w:t>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我校</w:t>
      </w:r>
      <w:r>
        <w:rPr>
          <w:rFonts w:hint="eastAsia" w:ascii="等线" w:hAnsi="等线" w:eastAsia="仿宋" w:cs="仿宋"/>
          <w:kern w:val="2"/>
          <w:sz w:val="28"/>
          <w:szCs w:val="28"/>
        </w:rPr>
        <w:t>202</w:t>
      </w:r>
      <w:r>
        <w:rPr>
          <w:rFonts w:hint="eastAsia" w:ascii="等线" w:hAnsi="等线" w:eastAsia="仿宋" w:cs="仿宋"/>
          <w:kern w:val="2"/>
          <w:sz w:val="28"/>
          <w:szCs w:val="28"/>
          <w:lang w:val="en-US" w:eastAsia="zh-CN"/>
        </w:rPr>
        <w:t>5</w:t>
      </w:r>
      <w:r>
        <w:rPr>
          <w:rFonts w:hint="eastAsia" w:ascii="等线" w:hAnsi="等线" w:eastAsia="仿宋" w:cs="仿宋"/>
          <w:kern w:val="2"/>
          <w:sz w:val="28"/>
          <w:szCs w:val="28"/>
        </w:rPr>
        <w:t>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sz w:val="28"/>
          <w:szCs w:val="28"/>
          <w:u w:val="none"/>
          <w:lang w:val="en-US" w:eastAsia="zh-CN"/>
        </w:rPr>
        <w:t>长沙商贸旅游职业技术</w:t>
      </w:r>
      <w:r>
        <w:rPr>
          <w:rFonts w:hint="eastAsia" w:ascii="等线" w:hAnsi="等线" w:eastAsia="仿宋" w:cs="仿宋"/>
          <w:sz w:val="28"/>
          <w:szCs w:val="28"/>
          <w:u w:val="none"/>
        </w:rPr>
        <w:t>学院</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r>
        <w:rPr>
          <w:rFonts w:hint="eastAsia" w:ascii="等线" w:hAnsi="等线" w:eastAsia="仿宋" w:cs="仿宋"/>
          <w:sz w:val="28"/>
          <w:szCs w:val="28"/>
          <w:shd w:val="clear" w:color="auto" w:fill="FFFFFF"/>
          <w:lang w:eastAsia="zh-CN"/>
        </w:rPr>
        <w:t>。</w:t>
      </w:r>
    </w:p>
    <w:p>
      <w:pPr>
        <w:numPr>
          <w:ilvl w:val="-1"/>
          <w:numId w:val="0"/>
        </w:numPr>
        <w:shd w:val="clear" w:color="auto" w:fill="FFFFFF"/>
        <w:spacing w:line="500" w:lineRule="exact"/>
        <w:ind w:firstLine="560" w:firstLineChars="200"/>
        <w:rPr>
          <w:rFonts w:hint="eastAsia" w:ascii="等线" w:hAnsi="等线" w:eastAsia="仿宋" w:cs="仿宋"/>
          <w:sz w:val="28"/>
          <w:szCs w:val="28"/>
        </w:rPr>
      </w:pPr>
    </w:p>
    <w:bookmarkEnd w:id="0"/>
    <w:p>
      <w:pPr>
        <w:widowControl/>
        <w:spacing w:before="100" w:after="100" w:line="600" w:lineRule="exact"/>
        <w:ind w:firstLine="723" w:firstLineChars="200"/>
        <w:jc w:val="center"/>
        <w:rPr>
          <w:rFonts w:hint="eastAsia" w:ascii="宋体" w:hAnsi="宋体" w:eastAsia="宋体" w:cs="宋体"/>
          <w:b/>
          <w:bCs/>
          <w:kern w:val="0"/>
          <w:sz w:val="36"/>
          <w:szCs w:val="36"/>
        </w:rPr>
      </w:pPr>
    </w:p>
    <w:p>
      <w:pPr>
        <w:widowControl/>
        <w:spacing w:before="100" w:after="100" w:line="600" w:lineRule="exact"/>
        <w:ind w:firstLine="723" w:firstLineChars="200"/>
        <w:jc w:val="center"/>
        <w:rPr>
          <w:rFonts w:hint="eastAsia" w:ascii="宋体" w:hAnsi="宋体" w:eastAsia="宋体" w:cs="宋体"/>
          <w:b/>
          <w:bCs/>
          <w:kern w:val="0"/>
          <w:sz w:val="36"/>
          <w:szCs w:val="36"/>
        </w:rPr>
      </w:pPr>
    </w:p>
    <w:p>
      <w: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kern w:val="0"/>
          <w:sz w:val="32"/>
          <w:szCs w:val="32"/>
          <w:u w:val="none"/>
          <w:shd w:val="clear" w:color="auto" w:fill="auto"/>
          <w:lang w:val="en-US" w:eastAsia="zh-CN" w:bidi="ar-SA"/>
        </w:rPr>
      </w:pPr>
      <w:r>
        <w:rPr>
          <w:rFonts w:hint="eastAsia" w:ascii="黑体" w:hAnsi="黑体" w:eastAsia="黑体" w:cs="黑体"/>
          <w:b w:val="0"/>
          <w:bCs w:val="0"/>
          <w:kern w:val="0"/>
          <w:sz w:val="32"/>
          <w:szCs w:val="32"/>
          <w:u w:val="none"/>
          <w:shd w:val="clear" w:color="auto" w:fill="auto"/>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kern w:val="0"/>
          <w:sz w:val="32"/>
          <w:szCs w:val="32"/>
          <w:u w:val="none"/>
          <w:shd w:val="clear" w:color="auto" w:fill="auto"/>
          <w:lang w:val="en-US" w:eastAsia="zh-CN" w:bidi="ar-SA"/>
        </w:rPr>
      </w:pPr>
      <w:r>
        <w:rPr>
          <w:rFonts w:hint="eastAsia" w:ascii="黑体" w:hAnsi="黑体" w:eastAsia="黑体" w:cs="黑体"/>
          <w:b w:val="0"/>
          <w:bCs w:val="0"/>
          <w:kern w:val="0"/>
          <w:sz w:val="32"/>
          <w:szCs w:val="32"/>
          <w:u w:val="none"/>
          <w:shd w:val="clear" w:color="auto" w:fill="auto"/>
          <w:lang w:val="en-US" w:eastAsia="zh-CN" w:bidi="ar-SA"/>
        </w:rPr>
        <w:t>长沙商贸旅游职业技术学院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cs="黑体"/>
          <w:b w:val="0"/>
          <w:bCs w:val="0"/>
          <w:kern w:val="0"/>
          <w:sz w:val="32"/>
          <w:szCs w:val="32"/>
          <w:u w:val="none"/>
          <w:shd w:val="clear" w:color="auto" w:fill="auto"/>
          <w:lang w:val="en-US" w:eastAsia="zh-CN" w:bidi="ar-SA"/>
        </w:rPr>
      </w:pPr>
      <w:r>
        <w:rPr>
          <w:rFonts w:hint="eastAsia" w:ascii="黑体" w:hAnsi="黑体" w:eastAsia="黑体" w:cs="黑体"/>
          <w:b w:val="0"/>
          <w:bCs w:val="0"/>
          <w:kern w:val="0"/>
          <w:sz w:val="32"/>
          <w:szCs w:val="32"/>
          <w:u w:val="none"/>
          <w:shd w:val="clear" w:color="auto" w:fill="auto"/>
          <w:lang w:val="en-US" w:eastAsia="zh-CN" w:bidi="ar-SA"/>
        </w:rPr>
        <w:t>2025年单招体育、艺术特长生专项测试办法</w:t>
      </w:r>
    </w:p>
    <w:p>
      <w:pPr>
        <w:widowControl/>
        <w:spacing w:before="100" w:after="100" w:line="24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为</w:t>
      </w:r>
      <w:r>
        <w:rPr>
          <w:rFonts w:hint="eastAsia" w:ascii="宋体" w:hAnsi="宋体" w:eastAsia="宋体" w:cs="宋体"/>
          <w:kern w:val="0"/>
          <w:sz w:val="24"/>
          <w:szCs w:val="24"/>
          <w:lang w:val="en-US" w:eastAsia="zh-CN"/>
        </w:rPr>
        <w:t>切实选拔优秀体育、艺术特长生，</w:t>
      </w:r>
      <w:r>
        <w:rPr>
          <w:rFonts w:hint="eastAsia" w:ascii="宋体" w:hAnsi="宋体" w:eastAsia="宋体" w:cs="宋体"/>
          <w:kern w:val="0"/>
          <w:sz w:val="24"/>
          <w:szCs w:val="24"/>
        </w:rPr>
        <w:t>满足我校体育运动队、艺术团发展需要，推进校园文化建设，</w:t>
      </w:r>
      <w:r>
        <w:rPr>
          <w:rFonts w:hint="eastAsia" w:ascii="宋体" w:hAnsi="宋体" w:eastAsia="宋体" w:cs="宋体"/>
          <w:kern w:val="0"/>
          <w:sz w:val="24"/>
          <w:szCs w:val="24"/>
          <w:lang w:val="en-US" w:eastAsia="zh-CN"/>
        </w:rPr>
        <w:t>现结合实际制定2025年体育、艺术特长生专项测试办法如下</w:t>
      </w:r>
      <w:r>
        <w:rPr>
          <w:rFonts w:hint="eastAsia" w:ascii="宋体" w:hAnsi="宋体" w:eastAsia="宋体" w:cs="宋体"/>
          <w:kern w:val="0"/>
          <w:sz w:val="24"/>
          <w:szCs w:val="24"/>
        </w:rPr>
        <w:t>：</w:t>
      </w:r>
    </w:p>
    <w:p>
      <w:pPr>
        <w:widowControl/>
        <w:spacing w:before="100" w:after="100"/>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男子篮球项目（300分）</w:t>
      </w:r>
    </w:p>
    <w:p>
      <w:pPr>
        <w:widowControl/>
        <w:spacing w:before="100" w:after="10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1、"V"型运球三步上篮（半场）（50分）</w:t>
      </w:r>
    </w:p>
    <w:p>
      <w:pPr>
        <w:widowControl/>
        <w:spacing w:before="100" w:after="10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考生由篮下出发，向中线两角运球折返，折返必须使用两步急停换手，折返后采用左、右手三步上篮，未投中球进行补篮，整个运球过程中需要做四次折返，左、右手各两次上篮。技术评分30分，技能评分30分。正规的运球技术动作，运球过程中不允许抛球、甩球、翻手腕、走步等，每出现一次违例扣技术分5分。</w:t>
      </w:r>
    </w:p>
    <w:p>
      <w:pPr>
        <w:widowControl/>
        <w:spacing w:before="100" w:after="10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技能评分标准：</w:t>
      </w:r>
    </w:p>
    <w:tbl>
      <w:tblPr>
        <w:tblStyle w:val="11"/>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648"/>
        <w:gridCol w:w="1426"/>
        <w:gridCol w:w="1426"/>
        <w:gridCol w:w="1425"/>
        <w:gridCol w:w="1425"/>
        <w:gridCol w:w="142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64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时间（秒）</w:t>
            </w:r>
          </w:p>
        </w:tc>
        <w:tc>
          <w:tcPr>
            <w:tcW w:w="142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30及以上</w:t>
            </w:r>
          </w:p>
        </w:tc>
        <w:tc>
          <w:tcPr>
            <w:tcW w:w="142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4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4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4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26及以下</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64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42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42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4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4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4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2、一分钟投篮（半场）（50分）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考生使用正确的投篮姿势，1分钟时间内自投自抢，外线球员最低出手次数12次（三分线外），内线球员最低出手次数14次（三秒区外），若出手次数低于规定次数，每少出手一次扣5分，技术评分25分，技能评分25分。每人两次机会，取最好成绩。</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技能评分标准：</w:t>
      </w:r>
    </w:p>
    <w:tbl>
      <w:tblPr>
        <w:tblStyle w:val="11"/>
        <w:tblW w:w="0" w:type="auto"/>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541"/>
        <w:gridCol w:w="1725"/>
        <w:gridCol w:w="1143"/>
        <w:gridCol w:w="1144"/>
        <w:gridCol w:w="1219"/>
        <w:gridCol w:w="1692"/>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154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次数(外)</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12/3及以下</w:t>
            </w:r>
          </w:p>
        </w:tc>
        <w:tc>
          <w:tcPr>
            <w:tcW w:w="1143"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12/4</w:t>
            </w:r>
          </w:p>
        </w:tc>
        <w:tc>
          <w:tcPr>
            <w:tcW w:w="114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12/5</w:t>
            </w:r>
          </w:p>
        </w:tc>
        <w:tc>
          <w:tcPr>
            <w:tcW w:w="121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12/6</w:t>
            </w:r>
          </w:p>
        </w:tc>
        <w:tc>
          <w:tcPr>
            <w:tcW w:w="16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12/7及以上</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154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次数（内）</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14/5及以下</w:t>
            </w:r>
          </w:p>
        </w:tc>
        <w:tc>
          <w:tcPr>
            <w:tcW w:w="1143"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14/6</w:t>
            </w:r>
          </w:p>
        </w:tc>
        <w:tc>
          <w:tcPr>
            <w:tcW w:w="114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14/7</w:t>
            </w:r>
          </w:p>
        </w:tc>
        <w:tc>
          <w:tcPr>
            <w:tcW w:w="121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14/8</w:t>
            </w:r>
          </w:p>
        </w:tc>
        <w:tc>
          <w:tcPr>
            <w:tcW w:w="16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14/9及以上</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154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143"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14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21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6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3、摸高（原地、助跑）（40分）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测试方法：考生可选择原地摸高或助跑摸高。</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评分标准：</w:t>
      </w:r>
    </w:p>
    <w:tbl>
      <w:tblPr>
        <w:tblStyle w:val="11"/>
        <w:tblW w:w="8835"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523"/>
        <w:gridCol w:w="1482"/>
        <w:gridCol w:w="806"/>
        <w:gridCol w:w="1012"/>
        <w:gridCol w:w="975"/>
        <w:gridCol w:w="656"/>
        <w:gridCol w:w="562"/>
        <w:gridCol w:w="789"/>
        <w:gridCol w:w="103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1523"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高度(厘米)</w:t>
            </w:r>
          </w:p>
        </w:tc>
        <w:tc>
          <w:tcPr>
            <w:tcW w:w="148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300及以下</w:t>
            </w:r>
          </w:p>
        </w:tc>
        <w:tc>
          <w:tcPr>
            <w:tcW w:w="80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305</w:t>
            </w:r>
          </w:p>
        </w:tc>
        <w:tc>
          <w:tcPr>
            <w:tcW w:w="10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310</w:t>
            </w:r>
          </w:p>
        </w:tc>
        <w:tc>
          <w:tcPr>
            <w:tcW w:w="97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315</w:t>
            </w:r>
          </w:p>
        </w:tc>
        <w:tc>
          <w:tcPr>
            <w:tcW w:w="65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320</w:t>
            </w:r>
          </w:p>
        </w:tc>
        <w:tc>
          <w:tcPr>
            <w:tcW w:w="56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325</w:t>
            </w:r>
          </w:p>
        </w:tc>
        <w:tc>
          <w:tcPr>
            <w:tcW w:w="78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330</w:t>
            </w:r>
          </w:p>
        </w:tc>
        <w:tc>
          <w:tcPr>
            <w:tcW w:w="103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335及以上</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1523"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48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80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0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97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65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56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78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38</w:t>
            </w:r>
          </w:p>
        </w:tc>
        <w:tc>
          <w:tcPr>
            <w:tcW w:w="103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4、全场实战（五对五）（160分）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测试方法：分队教学比赛，双方根据教练安排采用人盯人、联防等战术进行实战演练。</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评分标准：</w:t>
      </w:r>
    </w:p>
    <w:tbl>
      <w:tblPr>
        <w:tblStyle w:val="11"/>
        <w:tblW w:w="0" w:type="auto"/>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4992"/>
        <w:gridCol w:w="3472"/>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90" w:hRule="exact"/>
        </w:trPr>
        <w:tc>
          <w:tcPr>
            <w:tcW w:w="49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测试内容</w:t>
            </w:r>
          </w:p>
        </w:tc>
        <w:tc>
          <w:tcPr>
            <w:tcW w:w="347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90" w:hRule="exact"/>
        </w:trPr>
        <w:tc>
          <w:tcPr>
            <w:tcW w:w="49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队员在司职位置上意识、能力</w:t>
            </w:r>
          </w:p>
        </w:tc>
        <w:tc>
          <w:tcPr>
            <w:tcW w:w="347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90" w:hRule="exact"/>
        </w:trPr>
        <w:tc>
          <w:tcPr>
            <w:tcW w:w="49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队员攻防转换意识、能力</w:t>
            </w:r>
          </w:p>
        </w:tc>
        <w:tc>
          <w:tcPr>
            <w:tcW w:w="347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90" w:hRule="exact"/>
        </w:trPr>
        <w:tc>
          <w:tcPr>
            <w:tcW w:w="49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队员阅读比赛及合理运用篮球技术能力</w:t>
            </w:r>
          </w:p>
        </w:tc>
        <w:tc>
          <w:tcPr>
            <w:tcW w:w="347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90" w:hRule="exact"/>
        </w:trPr>
        <w:tc>
          <w:tcPr>
            <w:tcW w:w="49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队员抢前后篮板球意识、能力</w:t>
            </w:r>
          </w:p>
        </w:tc>
        <w:tc>
          <w:tcPr>
            <w:tcW w:w="347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590" w:hRule="exact"/>
        </w:trPr>
        <w:tc>
          <w:tcPr>
            <w:tcW w:w="499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队员比赛作风</w:t>
            </w:r>
          </w:p>
        </w:tc>
        <w:tc>
          <w:tcPr>
            <w:tcW w:w="347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bl>
    <w:p>
      <w:pPr>
        <w:widowControl/>
        <w:spacing w:before="100" w:after="100" w:line="360" w:lineRule="auto"/>
        <w:ind w:firstLine="482" w:firstLineChars="200"/>
        <w:rPr>
          <w:rFonts w:hint="eastAsia" w:ascii="宋体" w:hAnsi="宋体" w:eastAsia="宋体" w:cs="宋体"/>
          <w:b/>
          <w:bCs/>
          <w:kern w:val="0"/>
          <w:sz w:val="24"/>
          <w:szCs w:val="24"/>
        </w:rPr>
      </w:pPr>
    </w:p>
    <w:p>
      <w:pPr>
        <w:widowControl/>
        <w:spacing w:before="100" w:after="100"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男子足球项目（300分）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1、30米跑（30分）</w:t>
      </w:r>
    </w:p>
    <w:tbl>
      <w:tblPr>
        <w:tblStyle w:val="11"/>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147"/>
        <w:gridCol w:w="820"/>
        <w:gridCol w:w="1227"/>
        <w:gridCol w:w="1227"/>
        <w:gridCol w:w="1227"/>
        <w:gridCol w:w="1226"/>
        <w:gridCol w:w="1227"/>
        <w:gridCol w:w="987"/>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14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成绩（秒）</w:t>
            </w:r>
          </w:p>
        </w:tc>
        <w:tc>
          <w:tcPr>
            <w:tcW w:w="82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3.9及以下</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4.0-4.1</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4.2-4.3</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4.4-4.5</w:t>
            </w:r>
          </w:p>
        </w:tc>
        <w:tc>
          <w:tcPr>
            <w:tcW w:w="122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4.6-4.7</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4.8-4.9</w:t>
            </w:r>
          </w:p>
        </w:tc>
        <w:tc>
          <w:tcPr>
            <w:tcW w:w="98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5.0及以上</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62" w:hRule="atLeast"/>
          <w:jc w:val="center"/>
        </w:trPr>
        <w:tc>
          <w:tcPr>
            <w:tcW w:w="114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82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22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22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98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2、基本技术（90分）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（1）颠球（30分）    </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测试方法：考生在直径2米圆圈范围内用双脚连续进行颠球，三次机会，取最好成绩。    </w:t>
      </w:r>
    </w:p>
    <w:tbl>
      <w:tblPr>
        <w:tblStyle w:val="11"/>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200"/>
        <w:gridCol w:w="852"/>
        <w:gridCol w:w="1112"/>
        <w:gridCol w:w="1112"/>
        <w:gridCol w:w="1112"/>
        <w:gridCol w:w="1112"/>
        <w:gridCol w:w="1112"/>
        <w:gridCol w:w="852"/>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20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成绩（次）</w:t>
            </w:r>
          </w:p>
        </w:tc>
        <w:tc>
          <w:tcPr>
            <w:tcW w:w="85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70及以上</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60-69</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50-59</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40-49</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30-39</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20-29</w:t>
            </w:r>
          </w:p>
        </w:tc>
        <w:tc>
          <w:tcPr>
            <w:tcW w:w="85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19以下</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20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85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11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85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（2）传接球（50分）    </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测试方法：两人相距约30米，左右脚长传及接控球。    </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成绩评定：传球25分，接控球25分，根据评分标准分别计分。    </w:t>
      </w:r>
    </w:p>
    <w:tbl>
      <w:tblPr>
        <w:tblStyle w:val="11"/>
        <w:tblW w:w="9056"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210"/>
        <w:gridCol w:w="1698"/>
        <w:gridCol w:w="2016"/>
        <w:gridCol w:w="2101"/>
        <w:gridCol w:w="2031"/>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21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69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18-25</w:t>
            </w:r>
          </w:p>
        </w:tc>
        <w:tc>
          <w:tcPr>
            <w:tcW w:w="201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10-17</w:t>
            </w:r>
          </w:p>
        </w:tc>
        <w:tc>
          <w:tcPr>
            <w:tcW w:w="210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7-9</w:t>
            </w:r>
          </w:p>
        </w:tc>
        <w:tc>
          <w:tcPr>
            <w:tcW w:w="203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6以下</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210" w:type="dxa"/>
            <w:vMerge w:val="restart"/>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测试要求</w:t>
            </w:r>
          </w:p>
        </w:tc>
        <w:tc>
          <w:tcPr>
            <w:tcW w:w="169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传球落点准确</w:t>
            </w:r>
          </w:p>
        </w:tc>
        <w:tc>
          <w:tcPr>
            <w:tcW w:w="201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传球落点较准确</w:t>
            </w:r>
          </w:p>
        </w:tc>
        <w:tc>
          <w:tcPr>
            <w:tcW w:w="210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传球落点基本准确</w:t>
            </w:r>
          </w:p>
        </w:tc>
        <w:tc>
          <w:tcPr>
            <w:tcW w:w="203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传球落点不准确</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100" w:after="100" w:line="360" w:lineRule="auto"/>
              <w:jc w:val="center"/>
              <w:rPr>
                <w:rFonts w:hint="eastAsia" w:ascii="宋体" w:hAnsi="宋体" w:eastAsia="宋体" w:cs="宋体"/>
                <w:kern w:val="0"/>
                <w:sz w:val="24"/>
                <w:szCs w:val="24"/>
              </w:rPr>
            </w:pPr>
          </w:p>
        </w:tc>
        <w:tc>
          <w:tcPr>
            <w:tcW w:w="169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接控球到位技术合理</w:t>
            </w:r>
          </w:p>
        </w:tc>
        <w:tc>
          <w:tcPr>
            <w:tcW w:w="2016"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接控球较到位</w:t>
            </w:r>
          </w:p>
        </w:tc>
        <w:tc>
          <w:tcPr>
            <w:tcW w:w="210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接控球基本到位</w:t>
            </w:r>
          </w:p>
        </w:tc>
        <w:tc>
          <w:tcPr>
            <w:tcW w:w="203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接控球不到位</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（3）射门（30分）    </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测试方法：从指定位置运球至罚球区线附近并完成射门，左右脚各3次。    </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成绩评定：根据评分标准计分。    </w:t>
      </w:r>
    </w:p>
    <w:tbl>
      <w:tblPr>
        <w:tblStyle w:val="11"/>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38"/>
        <w:gridCol w:w="1835"/>
        <w:gridCol w:w="1835"/>
        <w:gridCol w:w="2009"/>
        <w:gridCol w:w="1747"/>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038"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835"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26-30</w:t>
            </w:r>
          </w:p>
        </w:tc>
        <w:tc>
          <w:tcPr>
            <w:tcW w:w="1835"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20-25</w:t>
            </w:r>
          </w:p>
        </w:tc>
        <w:tc>
          <w:tcPr>
            <w:tcW w:w="2009"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15-19</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8以下</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038"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测试要求</w:t>
            </w:r>
          </w:p>
        </w:tc>
        <w:tc>
          <w:tcPr>
            <w:tcW w:w="1835"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运球射门动作连贯、射门准确有力</w:t>
            </w:r>
          </w:p>
        </w:tc>
        <w:tc>
          <w:tcPr>
            <w:tcW w:w="1835"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运球射门动作较连贯、射门较准确</w:t>
            </w:r>
          </w:p>
        </w:tc>
        <w:tc>
          <w:tcPr>
            <w:tcW w:w="2009"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运球射门动作基本连贯、射门基本准确</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运球射门动作不连贯、射门不准确</w:t>
            </w:r>
          </w:p>
        </w:tc>
      </w:tr>
    </w:tbl>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3、比赛能力（160分）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测试方法：根据参加测试人数确定分组对抗人数，进行分队比赛，时间不少于20分钟。    </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成绩评定：根据考生比赛中位置技术、技战术运用能力、比赛意识、团队意识、心理品质等进行综合评定。    </w:t>
      </w:r>
    </w:p>
    <w:tbl>
      <w:tblPr>
        <w:tblStyle w:val="11"/>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1038"/>
        <w:gridCol w:w="1725"/>
        <w:gridCol w:w="1901"/>
        <w:gridCol w:w="2075"/>
        <w:gridCol w:w="172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03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121-160</w:t>
            </w:r>
          </w:p>
        </w:tc>
        <w:tc>
          <w:tcPr>
            <w:tcW w:w="190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91-120</w:t>
            </w:r>
          </w:p>
        </w:tc>
        <w:tc>
          <w:tcPr>
            <w:tcW w:w="207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61-90</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60以下</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jc w:val="center"/>
        </w:trPr>
        <w:tc>
          <w:tcPr>
            <w:tcW w:w="103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测试要求</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个人技术及位置技术突出、运用合理，比赛意识好</w:t>
            </w:r>
          </w:p>
        </w:tc>
        <w:tc>
          <w:tcPr>
            <w:tcW w:w="190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个人技术及位置技术较好、运用较合理，比赛意识较好</w:t>
            </w:r>
          </w:p>
        </w:tc>
        <w:tc>
          <w:tcPr>
            <w:tcW w:w="207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具备一定个人技术及位置技术，运用基本合理，比赛意识一般</w:t>
            </w:r>
          </w:p>
        </w:tc>
        <w:tc>
          <w:tcPr>
            <w:tcW w:w="17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个人技术及位置技术较差，运用不合理，比赛意识差</w:t>
            </w:r>
          </w:p>
        </w:tc>
      </w:tr>
    </w:tbl>
    <w:p>
      <w:pPr>
        <w:spacing w:line="360" w:lineRule="auto"/>
        <w:ind w:firstLine="482" w:firstLineChars="200"/>
        <w:rPr>
          <w:rFonts w:hint="eastAsia" w:ascii="宋体" w:hAnsi="宋体" w:eastAsia="宋体" w:cs="宋体"/>
          <w:b/>
          <w:bCs/>
          <w:kern w:val="0"/>
          <w:sz w:val="24"/>
          <w:szCs w:val="24"/>
        </w:rPr>
      </w:pPr>
    </w:p>
    <w:p>
      <w:pPr>
        <w:spacing w:line="360" w:lineRule="auto"/>
        <w:ind w:firstLine="241" w:firstLineChars="100"/>
        <w:rPr>
          <w:rFonts w:hint="eastAsia" w:ascii="宋体" w:hAnsi="宋体" w:eastAsia="宋体" w:cs="宋体"/>
          <w:b/>
          <w:bCs/>
          <w:kern w:val="0"/>
          <w:sz w:val="24"/>
          <w:szCs w:val="24"/>
        </w:rPr>
      </w:pPr>
      <w:r>
        <w:rPr>
          <w:rFonts w:hint="eastAsia" w:ascii="宋体" w:hAnsi="宋体" w:eastAsia="宋体" w:cs="宋体"/>
          <w:b/>
          <w:bCs/>
          <w:kern w:val="0"/>
          <w:sz w:val="24"/>
          <w:szCs w:val="24"/>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女子排球项目（300分）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1、助跑摸高（30分）</w:t>
      </w:r>
    </w:p>
    <w:p>
      <w:pPr>
        <w:widowControl/>
        <w:spacing w:before="100" w:after="100" w:line="360" w:lineRule="auto"/>
        <w:ind w:firstLine="480" w:firstLineChars="200"/>
        <w:rPr>
          <w:rFonts w:hint="eastAsia" w:ascii="宋体" w:hAnsi="宋体" w:eastAsia="宋体" w:cs="宋体"/>
          <w:kern w:val="0"/>
          <w:sz w:val="24"/>
          <w:szCs w:val="24"/>
        </w:rPr>
      </w:pPr>
      <w:bookmarkStart w:id="1" w:name="bookmark6"/>
      <w:bookmarkEnd w:id="1"/>
      <w:r>
        <w:rPr>
          <w:rFonts w:hint="eastAsia" w:ascii="宋体" w:hAnsi="宋体" w:eastAsia="宋体" w:cs="宋体"/>
          <w:kern w:val="0"/>
          <w:sz w:val="24"/>
          <w:szCs w:val="24"/>
        </w:rPr>
        <w:t>测试方法：考生助跑双脚起跳摸高，单手触摸有固定标尺的高物，记录绝对高度。每人两次机会，取最好成绩。</w:t>
      </w:r>
    </w:p>
    <w:tbl>
      <w:tblPr>
        <w:tblStyle w:val="11"/>
        <w:tblW w:w="9573"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fixed"/>
        <w:tblCellMar>
          <w:top w:w="15" w:type="dxa"/>
          <w:left w:w="15" w:type="dxa"/>
          <w:bottom w:w="15" w:type="dxa"/>
          <w:right w:w="15" w:type="dxa"/>
        </w:tblCellMar>
      </w:tblPr>
      <w:tblGrid>
        <w:gridCol w:w="591"/>
        <w:gridCol w:w="900"/>
        <w:gridCol w:w="825"/>
        <w:gridCol w:w="844"/>
        <w:gridCol w:w="862"/>
        <w:gridCol w:w="769"/>
        <w:gridCol w:w="788"/>
        <w:gridCol w:w="787"/>
        <w:gridCol w:w="765"/>
        <w:gridCol w:w="814"/>
        <w:gridCol w:w="814"/>
        <w:gridCol w:w="81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59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成绩（米）</w:t>
            </w:r>
          </w:p>
        </w:tc>
        <w:tc>
          <w:tcPr>
            <w:tcW w:w="90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2.95及以上</w:t>
            </w:r>
          </w:p>
        </w:tc>
        <w:tc>
          <w:tcPr>
            <w:tcW w:w="8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2.91-2.94</w:t>
            </w:r>
          </w:p>
        </w:tc>
        <w:tc>
          <w:tcPr>
            <w:tcW w:w="84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2.86-2.90</w:t>
            </w:r>
          </w:p>
        </w:tc>
        <w:tc>
          <w:tcPr>
            <w:tcW w:w="86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2.81-2.85</w:t>
            </w:r>
          </w:p>
        </w:tc>
        <w:tc>
          <w:tcPr>
            <w:tcW w:w="76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2.76-2.80</w:t>
            </w:r>
          </w:p>
        </w:tc>
        <w:tc>
          <w:tcPr>
            <w:tcW w:w="78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2.71-2.75</w:t>
            </w:r>
          </w:p>
        </w:tc>
        <w:tc>
          <w:tcPr>
            <w:tcW w:w="78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2.66-2.70</w:t>
            </w:r>
          </w:p>
        </w:tc>
        <w:tc>
          <w:tcPr>
            <w:tcW w:w="76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2.61-2.65</w:t>
            </w:r>
          </w:p>
        </w:tc>
        <w:tc>
          <w:tcPr>
            <w:tcW w:w="81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2.56-2.60</w:t>
            </w:r>
          </w:p>
        </w:tc>
        <w:tc>
          <w:tcPr>
            <w:tcW w:w="81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2.51-2.55</w:t>
            </w:r>
          </w:p>
        </w:tc>
        <w:tc>
          <w:tcPr>
            <w:tcW w:w="81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2.50及以下</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62" w:hRule="atLeast"/>
          <w:jc w:val="center"/>
        </w:trPr>
        <w:tc>
          <w:tcPr>
            <w:tcW w:w="591"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分值</w:t>
            </w:r>
          </w:p>
        </w:tc>
        <w:tc>
          <w:tcPr>
            <w:tcW w:w="900"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30</w:t>
            </w:r>
          </w:p>
        </w:tc>
        <w:tc>
          <w:tcPr>
            <w:tcW w:w="82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27</w:t>
            </w:r>
          </w:p>
        </w:tc>
        <w:tc>
          <w:tcPr>
            <w:tcW w:w="84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24</w:t>
            </w:r>
          </w:p>
        </w:tc>
        <w:tc>
          <w:tcPr>
            <w:tcW w:w="862"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21</w:t>
            </w:r>
          </w:p>
        </w:tc>
        <w:tc>
          <w:tcPr>
            <w:tcW w:w="769"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18</w:t>
            </w:r>
          </w:p>
        </w:tc>
        <w:tc>
          <w:tcPr>
            <w:tcW w:w="788"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15</w:t>
            </w:r>
          </w:p>
        </w:tc>
        <w:tc>
          <w:tcPr>
            <w:tcW w:w="787"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12</w:t>
            </w:r>
          </w:p>
        </w:tc>
        <w:tc>
          <w:tcPr>
            <w:tcW w:w="765"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9</w:t>
            </w:r>
          </w:p>
        </w:tc>
        <w:tc>
          <w:tcPr>
            <w:tcW w:w="81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81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814" w:type="dxa"/>
            <w:tcBorders>
              <w:top w:val="single" w:color="auto" w:sz="4" w:space="0"/>
              <w:left w:val="single" w:color="auto" w:sz="4" w:space="0"/>
              <w:bottom w:val="single" w:color="auto" w:sz="4" w:space="0"/>
              <w:right w:val="single" w:color="auto" w:sz="4" w:space="0"/>
            </w:tcBorders>
            <w:noWrap w:val="0"/>
            <w:tcMar>
              <w:top w:w="79" w:type="dxa"/>
              <w:left w:w="79" w:type="dxa"/>
              <w:bottom w:w="79" w:type="dxa"/>
              <w:right w:w="79" w:type="dxa"/>
            </w:tcMar>
            <w:vAlign w:val="top"/>
          </w:tcPr>
          <w:p>
            <w:pPr>
              <w:widowControl/>
              <w:spacing w:before="100" w:after="100" w:line="360" w:lineRule="auto"/>
              <w:jc w:val="center"/>
              <w:rPr>
                <w:rFonts w:ascii="仿宋" w:hAnsi="仿宋" w:eastAsia="仿宋" w:cs="仿宋"/>
                <w:kern w:val="0"/>
                <w:sz w:val="24"/>
              </w:rPr>
            </w:pPr>
            <w:r>
              <w:rPr>
                <w:rFonts w:hint="eastAsia" w:ascii="仿宋" w:hAnsi="仿宋" w:eastAsia="仿宋" w:cs="仿宋"/>
                <w:kern w:val="0"/>
                <w:sz w:val="24"/>
              </w:rPr>
              <w:t>0</w:t>
            </w:r>
          </w:p>
        </w:tc>
      </w:tr>
    </w:tbl>
    <w:p>
      <w:pPr>
        <w:widowControl/>
        <w:spacing w:before="100" w:after="100" w:line="360" w:lineRule="auto"/>
        <w:jc w:val="center"/>
        <w:rPr>
          <w:rFonts w:ascii="仿宋" w:hAnsi="仿宋" w:eastAsia="仿宋" w:cs="仿宋"/>
          <w:kern w:val="0"/>
          <w:sz w:val="32"/>
          <w:szCs w:val="32"/>
        </w:rPr>
      </w:pPr>
      <w:bookmarkStart w:id="2" w:name="bookmark8"/>
      <w:bookmarkEnd w:id="2"/>
    </w:p>
    <w:p>
      <w:pPr>
        <w:pStyle w:val="28"/>
        <w:spacing w:line="360" w:lineRule="auto"/>
        <w:ind w:left="240" w:firstLine="240" w:firstLine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2、扣球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0分）</w:t>
      </w:r>
    </w:p>
    <w:p>
      <w:pPr>
        <w:pStyle w:val="28"/>
        <w:tabs>
          <w:tab w:val="left" w:pos="651"/>
        </w:tabs>
        <w:spacing w:line="360" w:lineRule="auto"/>
        <w:ind w:firstLine="320"/>
        <w:rPr>
          <w:rFonts w:ascii="仿宋" w:hAnsi="仿宋" w:eastAsia="仿宋" w:cs="仿宋"/>
          <w:kern w:val="0"/>
          <w:sz w:val="32"/>
          <w:szCs w:val="32"/>
          <w:lang w:val="en-US" w:eastAsia="zh-CN" w:bidi="ar-SA"/>
        </w:rPr>
      </w:pPr>
      <w:r>
        <w:rPr>
          <w:rFonts w:hint="eastAsia" w:ascii="宋体" w:hAnsi="宋体" w:eastAsia="宋体" w:cs="宋体"/>
          <w:kern w:val="0"/>
          <w:sz w:val="24"/>
          <w:szCs w:val="24"/>
          <w:lang w:val="en-US" w:eastAsia="zh-CN"/>
        </w:rPr>
        <w:t>测试</w:t>
      </w:r>
      <w:r>
        <w:rPr>
          <w:rFonts w:hint="eastAsia" w:ascii="宋体" w:hAnsi="宋体" w:eastAsia="宋体" w:cs="宋体"/>
          <w:kern w:val="0"/>
          <w:sz w:val="24"/>
          <w:szCs w:val="24"/>
          <w:lang w:val="en-US" w:eastAsia="zh-CN" w:bidi="ar-SA"/>
        </w:rPr>
        <w:t>方法：</w:t>
      </w:r>
      <w:r>
        <w:rPr>
          <w:rFonts w:hint="eastAsia" w:ascii="宋体" w:hAnsi="宋体" w:eastAsia="宋体" w:cs="宋体"/>
          <w:kern w:val="0"/>
          <w:sz w:val="24"/>
          <w:szCs w:val="24"/>
          <w:lang w:val="en-US" w:eastAsia="zh-CN"/>
        </w:rPr>
        <w:t>考生</w:t>
      </w:r>
      <w:r>
        <w:rPr>
          <w:rFonts w:hint="eastAsia" w:ascii="宋体" w:hAnsi="宋体" w:eastAsia="宋体" w:cs="宋体"/>
          <w:kern w:val="0"/>
          <w:sz w:val="24"/>
          <w:szCs w:val="24"/>
          <w:lang w:val="en-US" w:eastAsia="zh-CN" w:bidi="ar-SA"/>
        </w:rPr>
        <w:t>3人一组，依次轮流扣考评员或</w:t>
      </w:r>
      <w:r>
        <w:rPr>
          <w:rFonts w:hint="eastAsia" w:ascii="宋体" w:hAnsi="宋体" w:eastAsia="宋体" w:cs="宋体"/>
          <w:kern w:val="0"/>
          <w:sz w:val="24"/>
          <w:szCs w:val="24"/>
          <w:lang w:val="en-US" w:eastAsia="zh-CN"/>
        </w:rPr>
        <w:t>考生</w:t>
      </w:r>
      <w:r>
        <w:rPr>
          <w:rFonts w:hint="eastAsia" w:ascii="宋体" w:hAnsi="宋体" w:eastAsia="宋体" w:cs="宋体"/>
          <w:kern w:val="0"/>
          <w:sz w:val="24"/>
          <w:szCs w:val="24"/>
          <w:lang w:val="en-US" w:eastAsia="zh-CN" w:bidi="ar-SA"/>
        </w:rPr>
        <w:t>（二传）从网前二传位置的传球。每名</w:t>
      </w:r>
      <w:r>
        <w:rPr>
          <w:rFonts w:hint="eastAsia" w:ascii="宋体" w:hAnsi="宋体" w:eastAsia="宋体" w:cs="宋体"/>
          <w:kern w:val="0"/>
          <w:sz w:val="24"/>
          <w:szCs w:val="24"/>
          <w:lang w:val="en-US" w:eastAsia="zh-CN"/>
        </w:rPr>
        <w:t>考生</w:t>
      </w:r>
      <w:r>
        <w:rPr>
          <w:rFonts w:hint="eastAsia" w:ascii="宋体" w:hAnsi="宋体" w:eastAsia="宋体" w:cs="宋体"/>
          <w:kern w:val="0"/>
          <w:sz w:val="24"/>
          <w:szCs w:val="24"/>
          <w:lang w:val="en-US" w:eastAsia="zh-CN" w:bidi="ar-SA"/>
        </w:rPr>
        <w:t>扣球8次（4次直线、4次斜线），根据落点区域的不同获得相应的分数，累计8次扣球得分为最终成绩。扣球位置（四号位）。如下图所示。</w:t>
      </w:r>
    </w:p>
    <w:p>
      <w:pPr>
        <w:pStyle w:val="28"/>
        <w:tabs>
          <w:tab w:val="left" w:pos="654"/>
        </w:tabs>
        <w:spacing w:line="240" w:lineRule="auto"/>
        <w:ind w:firstLine="320"/>
        <w:jc w:val="left"/>
        <w:rPr>
          <w:rFonts w:hint="default" w:ascii="仿宋" w:hAnsi="仿宋" w:eastAsia="仿宋" w:cs="仿宋"/>
          <w:kern w:val="0"/>
          <w:sz w:val="32"/>
          <w:szCs w:val="32"/>
          <w:lang w:val="en-US" w:eastAsia="zh-CN" w:bidi="ar-SA"/>
        </w:rPr>
      </w:pPr>
      <w:r>
        <w:drawing>
          <wp:inline distT="0" distB="0" distL="114300" distR="114300">
            <wp:extent cx="5268595" cy="3394075"/>
            <wp:effectExtent l="0" t="0" r="190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8595" cy="3394075"/>
                    </a:xfrm>
                    <a:prstGeom prst="rect">
                      <a:avLst/>
                    </a:prstGeom>
                    <a:noFill/>
                    <a:ln>
                      <a:noFill/>
                    </a:ln>
                  </pic:spPr>
                </pic:pic>
              </a:graphicData>
            </a:graphic>
          </wp:inline>
        </w:drawing>
      </w:r>
    </w:p>
    <w:p>
      <w:pPr>
        <w:pStyle w:val="28"/>
        <w:tabs>
          <w:tab w:val="left" w:pos="654"/>
        </w:tabs>
        <w:spacing w:line="360" w:lineRule="auto"/>
        <w:ind w:firstLine="32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评分标准：</w:t>
      </w:r>
    </w:p>
    <w:p>
      <w:pPr>
        <w:pStyle w:val="28"/>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扣球技术动作必须完整。搓吊球技术（引臂和挥臂击球动作中，肘关节未高于肩）和击出球呈抛物线飞行，属于犯规技术，不得分。</w:t>
      </w:r>
    </w:p>
    <w:p>
      <w:pPr>
        <w:pStyle w:val="28"/>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扣球评分：</w:t>
      </w:r>
    </w:p>
    <w:p>
      <w:pPr>
        <w:pStyle w:val="28"/>
        <w:tabs>
          <w:tab w:val="left" w:pos="521"/>
        </w:tabs>
        <w:spacing w:line="360" w:lineRule="auto"/>
        <w:ind w:left="240" w:firstLine="0"/>
        <w:rPr>
          <w:rFonts w:hint="eastAsia" w:ascii="宋体" w:hAnsi="宋体" w:eastAsia="宋体" w:cs="宋体"/>
          <w:kern w:val="0"/>
          <w:sz w:val="24"/>
          <w:szCs w:val="24"/>
          <w:lang w:val="en-US" w:eastAsia="zh-CN" w:bidi="ar-SA"/>
        </w:rPr>
      </w:pPr>
      <w:bookmarkStart w:id="3" w:name="bookmark14"/>
      <w:bookmarkEnd w:id="3"/>
      <w:r>
        <w:rPr>
          <w:rFonts w:hint="eastAsia" w:ascii="宋体" w:hAnsi="宋体" w:eastAsia="宋体" w:cs="宋体"/>
          <w:kern w:val="0"/>
          <w:sz w:val="24"/>
          <w:szCs w:val="24"/>
          <w:lang w:val="en-US" w:eastAsia="zh-CN" w:bidi="ar-SA"/>
        </w:rPr>
        <w:t>（1）扣球落点在A、B区内，得5分；</w:t>
      </w:r>
    </w:p>
    <w:p>
      <w:pPr>
        <w:pStyle w:val="28"/>
        <w:tabs>
          <w:tab w:val="left" w:pos="521"/>
        </w:tabs>
        <w:spacing w:line="360" w:lineRule="auto"/>
        <w:ind w:left="240" w:firstLine="0"/>
        <w:rPr>
          <w:rFonts w:hint="eastAsia" w:ascii="宋体" w:hAnsi="宋体" w:eastAsia="宋体" w:cs="宋体"/>
          <w:kern w:val="0"/>
          <w:sz w:val="24"/>
          <w:szCs w:val="24"/>
          <w:lang w:val="en-US" w:eastAsia="zh-CN" w:bidi="ar-SA"/>
        </w:rPr>
      </w:pPr>
      <w:bookmarkStart w:id="4" w:name="bookmark15"/>
      <w:bookmarkEnd w:id="4"/>
      <w:r>
        <w:rPr>
          <w:rFonts w:hint="eastAsia" w:ascii="宋体" w:hAnsi="宋体" w:eastAsia="宋体" w:cs="宋体"/>
          <w:kern w:val="0"/>
          <w:sz w:val="24"/>
          <w:szCs w:val="24"/>
          <w:lang w:val="en-US" w:eastAsia="zh-CN" w:bidi="ar-SA"/>
        </w:rPr>
        <w:t>（2）扣球落点其他区域内，得3分；</w:t>
      </w:r>
    </w:p>
    <w:p>
      <w:pPr>
        <w:pStyle w:val="28"/>
        <w:tabs>
          <w:tab w:val="left" w:pos="521"/>
        </w:tabs>
        <w:spacing w:line="360" w:lineRule="auto"/>
        <w:ind w:left="240" w:firstLine="0"/>
        <w:rPr>
          <w:rFonts w:hint="eastAsia" w:ascii="宋体" w:hAnsi="宋体" w:eastAsia="宋体" w:cs="宋体"/>
          <w:kern w:val="0"/>
          <w:sz w:val="24"/>
          <w:szCs w:val="24"/>
          <w:lang w:val="en-US" w:eastAsia="zh-CN" w:bidi="ar-SA"/>
        </w:rPr>
      </w:pPr>
      <w:bookmarkStart w:id="5" w:name="bookmark16"/>
      <w:bookmarkEnd w:id="5"/>
      <w:r>
        <w:rPr>
          <w:rFonts w:hint="eastAsia" w:ascii="宋体" w:hAnsi="宋体" w:eastAsia="宋体" w:cs="宋体"/>
          <w:kern w:val="0"/>
          <w:sz w:val="24"/>
          <w:szCs w:val="24"/>
          <w:lang w:val="en-US" w:eastAsia="zh-CN" w:bidi="ar-SA"/>
        </w:rPr>
        <w:t>（3）扣球落点在场外，得0分；</w:t>
      </w:r>
    </w:p>
    <w:p>
      <w:pPr>
        <w:pStyle w:val="28"/>
        <w:tabs>
          <w:tab w:val="left" w:pos="521"/>
        </w:tabs>
        <w:spacing w:line="360" w:lineRule="auto"/>
        <w:ind w:left="240" w:firstLine="0"/>
        <w:rPr>
          <w:rFonts w:hint="eastAsia" w:ascii="宋体" w:hAnsi="宋体" w:eastAsia="宋体" w:cs="宋体"/>
          <w:kern w:val="0"/>
          <w:sz w:val="24"/>
          <w:szCs w:val="24"/>
          <w:lang w:val="en-US" w:eastAsia="zh-CN" w:bidi="ar-SA"/>
        </w:rPr>
      </w:pPr>
      <w:bookmarkStart w:id="6" w:name="bookmark17"/>
      <w:bookmarkEnd w:id="6"/>
      <w:r>
        <w:rPr>
          <w:rFonts w:hint="eastAsia" w:ascii="宋体" w:hAnsi="宋体" w:eastAsia="宋体" w:cs="宋体"/>
          <w:kern w:val="0"/>
          <w:sz w:val="24"/>
          <w:szCs w:val="24"/>
          <w:lang w:val="en-US" w:eastAsia="zh-CN" w:bidi="ar-SA"/>
        </w:rPr>
        <w:t>（4）扣球失误或犯规技术，得0分。</w:t>
      </w:r>
    </w:p>
    <w:p>
      <w:pPr>
        <w:widowControl/>
        <w:spacing w:before="100" w:after="10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、发球（30分）</w:t>
      </w:r>
    </w:p>
    <w:p>
      <w:pPr>
        <w:widowControl/>
        <w:spacing w:before="100" w:after="100" w:line="360" w:lineRule="auto"/>
        <w:ind w:firstLine="480" w:firstLineChars="200"/>
        <w:rPr>
          <w:rFonts w:hint="eastAsia" w:ascii="宋体" w:hAnsi="宋体" w:eastAsia="宋体" w:cs="宋体"/>
          <w:kern w:val="0"/>
          <w:sz w:val="24"/>
          <w:szCs w:val="24"/>
        </w:rPr>
      </w:pPr>
      <w:bookmarkStart w:id="7" w:name="bookmark9"/>
      <w:bookmarkEnd w:id="7"/>
      <w:r>
        <w:rPr>
          <w:rFonts w:hint="eastAsia" w:ascii="宋体" w:hAnsi="宋体" w:eastAsia="宋体" w:cs="宋体"/>
          <w:kern w:val="0"/>
          <w:sz w:val="24"/>
          <w:szCs w:val="24"/>
        </w:rPr>
        <w:t>测试方法：考生在发球区内任意位置连续发球</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次，</w:t>
      </w:r>
      <w:r>
        <w:rPr>
          <w:rFonts w:hint="eastAsia" w:ascii="宋体" w:hAnsi="宋体" w:eastAsia="宋体" w:cs="宋体"/>
          <w:kern w:val="0"/>
          <w:sz w:val="24"/>
          <w:szCs w:val="24"/>
          <w:lang w:eastAsia="zh-CN"/>
        </w:rPr>
        <w:t>按照要求先发</w:t>
      </w:r>
      <w:r>
        <w:rPr>
          <w:rFonts w:hint="eastAsia" w:ascii="宋体" w:hAnsi="宋体" w:eastAsia="宋体" w:cs="宋体"/>
          <w:kern w:val="0"/>
          <w:sz w:val="24"/>
          <w:szCs w:val="24"/>
          <w:lang w:val="en-US" w:eastAsia="zh-CN"/>
        </w:rPr>
        <w:t>A区3次</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再发</w:t>
      </w:r>
      <w:r>
        <w:rPr>
          <w:rFonts w:hint="eastAsia" w:ascii="宋体" w:hAnsi="宋体" w:eastAsia="宋体" w:cs="宋体"/>
          <w:kern w:val="0"/>
          <w:sz w:val="24"/>
          <w:szCs w:val="24"/>
          <w:lang w:val="en-US" w:eastAsia="zh-CN"/>
        </w:rPr>
        <w:t>B区3次，</w:t>
      </w:r>
      <w:r>
        <w:rPr>
          <w:rFonts w:hint="eastAsia" w:ascii="宋体" w:hAnsi="宋体" w:eastAsia="宋体" w:cs="宋体"/>
          <w:kern w:val="0"/>
          <w:sz w:val="24"/>
          <w:szCs w:val="24"/>
        </w:rPr>
        <w:t>累计</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次发球得分为最终成绩。</w:t>
      </w:r>
    </w:p>
    <w:p>
      <w:pPr>
        <w:widowControl/>
        <w:spacing w:before="100" w:after="100" w:line="360" w:lineRule="auto"/>
        <w:ind w:firstLine="480" w:firstLineChars="200"/>
        <w:rPr>
          <w:rFonts w:hint="eastAsia" w:ascii="宋体" w:hAnsi="宋体" w:eastAsia="宋体" w:cs="宋体"/>
          <w:kern w:val="0"/>
          <w:sz w:val="24"/>
          <w:szCs w:val="24"/>
        </w:rPr>
      </w:pPr>
      <w:bookmarkStart w:id="8" w:name="bookmark10"/>
      <w:bookmarkEnd w:id="8"/>
      <w:r>
        <w:rPr>
          <w:rFonts w:hint="eastAsia" w:ascii="宋体" w:hAnsi="宋体" w:eastAsia="宋体" w:cs="宋体"/>
          <w:kern w:val="0"/>
          <w:sz w:val="24"/>
          <w:szCs w:val="24"/>
        </w:rPr>
        <w:t>评分标准：</w:t>
      </w:r>
      <w:r>
        <w:rPr>
          <w:rFonts w:hint="eastAsia" w:ascii="宋体" w:hAnsi="宋体" w:eastAsia="宋体" w:cs="宋体"/>
          <w:kern w:val="0"/>
          <w:sz w:val="24"/>
          <w:szCs w:val="24"/>
          <w:lang w:eastAsia="zh-CN"/>
        </w:rPr>
        <w:t>发</w:t>
      </w:r>
      <w:r>
        <w:rPr>
          <w:rFonts w:hint="eastAsia" w:ascii="宋体" w:hAnsi="宋体" w:eastAsia="宋体" w:cs="宋体"/>
          <w:kern w:val="0"/>
          <w:sz w:val="24"/>
          <w:szCs w:val="24"/>
          <w:lang w:val="en-US" w:eastAsia="zh-CN"/>
        </w:rPr>
        <w:t>A区时，</w:t>
      </w:r>
      <w:r>
        <w:rPr>
          <w:rFonts w:hint="eastAsia" w:ascii="宋体" w:hAnsi="宋体" w:eastAsia="宋体" w:cs="宋体"/>
          <w:kern w:val="0"/>
          <w:sz w:val="24"/>
          <w:szCs w:val="24"/>
        </w:rPr>
        <w:t>发球落点进入</w:t>
      </w:r>
      <w:r>
        <w:rPr>
          <w:rFonts w:hint="eastAsia" w:ascii="宋体" w:hAnsi="宋体" w:eastAsia="宋体" w:cs="宋体"/>
          <w:kern w:val="0"/>
          <w:sz w:val="24"/>
          <w:szCs w:val="24"/>
          <w:lang w:eastAsia="en-US"/>
        </w:rPr>
        <w:t>A</w:t>
      </w:r>
      <w:r>
        <w:rPr>
          <w:rFonts w:hint="eastAsia" w:ascii="宋体" w:hAnsi="宋体" w:eastAsia="宋体" w:cs="宋体"/>
          <w:kern w:val="0"/>
          <w:sz w:val="24"/>
          <w:szCs w:val="24"/>
        </w:rPr>
        <w:t>区(</w:t>
      </w:r>
      <w:r>
        <w:rPr>
          <w:rFonts w:hint="eastAsia" w:ascii="宋体" w:hAnsi="宋体" w:eastAsia="宋体" w:cs="宋体"/>
          <w:kern w:val="0"/>
          <w:sz w:val="24"/>
          <w:szCs w:val="24"/>
          <w:lang w:eastAsia="zh-CN"/>
        </w:rPr>
        <w:t>指定区域内</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发错区或界外</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发</w:t>
      </w:r>
      <w:r>
        <w:rPr>
          <w:rFonts w:hint="eastAsia" w:ascii="宋体" w:hAnsi="宋体" w:eastAsia="宋体" w:cs="宋体"/>
          <w:kern w:val="0"/>
          <w:sz w:val="24"/>
          <w:szCs w:val="24"/>
          <w:lang w:val="en-US" w:eastAsia="zh-CN"/>
        </w:rPr>
        <w:t>B区时，</w:t>
      </w:r>
      <w:r>
        <w:rPr>
          <w:rFonts w:hint="eastAsia" w:ascii="宋体" w:hAnsi="宋体" w:eastAsia="宋体" w:cs="宋体"/>
          <w:kern w:val="0"/>
          <w:sz w:val="24"/>
          <w:szCs w:val="24"/>
        </w:rPr>
        <w:t>发球落点进入</w:t>
      </w:r>
      <w:r>
        <w:rPr>
          <w:rFonts w:hint="eastAsia" w:ascii="宋体" w:hAnsi="宋体" w:eastAsia="宋体" w:cs="宋体"/>
          <w:kern w:val="0"/>
          <w:sz w:val="24"/>
          <w:szCs w:val="24"/>
          <w:lang w:val="en-US" w:eastAsia="zh-CN"/>
        </w:rPr>
        <w:t>B</w:t>
      </w:r>
      <w:r>
        <w:rPr>
          <w:rFonts w:hint="eastAsia" w:ascii="宋体" w:hAnsi="宋体" w:eastAsia="宋体" w:cs="宋体"/>
          <w:kern w:val="0"/>
          <w:sz w:val="24"/>
          <w:szCs w:val="24"/>
        </w:rPr>
        <w:t>区(</w:t>
      </w:r>
      <w:r>
        <w:rPr>
          <w:rFonts w:hint="eastAsia" w:ascii="宋体" w:hAnsi="宋体" w:eastAsia="宋体" w:cs="宋体"/>
          <w:kern w:val="0"/>
          <w:sz w:val="24"/>
          <w:szCs w:val="24"/>
          <w:lang w:eastAsia="zh-CN"/>
        </w:rPr>
        <w:t>指定区域内</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发错区或界外</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分；发球失误或犯规不得分。如下图所示。</w:t>
      </w:r>
    </w:p>
    <w:p>
      <w:pPr>
        <w:widowControl/>
        <w:spacing w:before="100" w:after="100" w:line="360" w:lineRule="auto"/>
        <w:rPr>
          <w:rFonts w:hint="eastAsia" w:ascii="仿宋" w:hAnsi="仿宋" w:eastAsia="仿宋" w:cs="仿宋"/>
          <w:kern w:val="0"/>
          <w:sz w:val="32"/>
          <w:szCs w:val="32"/>
          <w:lang w:val="en-US" w:eastAsia="zh-CN"/>
        </w:rPr>
      </w:pPr>
      <w:r>
        <w:drawing>
          <wp:inline distT="0" distB="0" distL="114300" distR="114300">
            <wp:extent cx="4833620" cy="2272030"/>
            <wp:effectExtent l="0" t="0" r="508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4833620" cy="2272030"/>
                    </a:xfrm>
                    <a:prstGeom prst="rect">
                      <a:avLst/>
                    </a:prstGeom>
                    <a:noFill/>
                    <a:ln>
                      <a:noFill/>
                    </a:ln>
                  </pic:spPr>
                </pic:pic>
              </a:graphicData>
            </a:graphic>
          </wp:inline>
        </w:drawing>
      </w:r>
    </w:p>
    <w:p>
      <w:pPr>
        <w:pStyle w:val="28"/>
        <w:tabs>
          <w:tab w:val="left" w:pos="521"/>
        </w:tabs>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4、比赛能力</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200</w:t>
      </w:r>
      <w:r>
        <w:rPr>
          <w:rFonts w:hint="eastAsia" w:ascii="宋体" w:hAnsi="宋体" w:eastAsia="宋体" w:cs="宋体"/>
          <w:kern w:val="0"/>
          <w:sz w:val="24"/>
          <w:szCs w:val="24"/>
        </w:rPr>
        <w:t>分）</w:t>
      </w:r>
    </w:p>
    <w:p>
      <w:pPr>
        <w:pStyle w:val="28"/>
        <w:tabs>
          <w:tab w:val="left" w:pos="521"/>
        </w:tabs>
        <w:spacing w:line="360" w:lineRule="auto"/>
        <w:ind w:firstLine="480" w:firstLineChars="200"/>
        <w:rPr>
          <w:rFonts w:hint="eastAsia" w:ascii="宋体" w:hAnsi="宋体" w:eastAsia="宋体" w:cs="宋体"/>
          <w:kern w:val="0"/>
          <w:sz w:val="24"/>
          <w:szCs w:val="24"/>
          <w:lang w:val="en-US" w:eastAsia="zh-CN" w:bidi="ar-SA"/>
        </w:rPr>
      </w:pPr>
      <w:bookmarkStart w:id="9" w:name="bookmark22"/>
      <w:bookmarkEnd w:id="9"/>
      <w:r>
        <w:rPr>
          <w:rFonts w:hint="eastAsia" w:ascii="宋体" w:hAnsi="宋体" w:eastAsia="宋体" w:cs="宋体"/>
          <w:kern w:val="0"/>
          <w:sz w:val="24"/>
          <w:szCs w:val="24"/>
          <w:lang w:val="en-US" w:eastAsia="zh-CN" w:bidi="ar-SA"/>
        </w:rPr>
        <w:t>测试方法：视测试人数分队进行比赛（可由考评员向两边抛球进行），比赛时间10分钟，或根据轮转等实际测试情况由主考确定每组比赛时间。</w:t>
      </w:r>
    </w:p>
    <w:p>
      <w:pPr>
        <w:pStyle w:val="28"/>
        <w:tabs>
          <w:tab w:val="left" w:pos="521"/>
        </w:tabs>
        <w:spacing w:line="360" w:lineRule="auto"/>
        <w:ind w:firstLine="480" w:firstLineChars="200"/>
        <w:rPr>
          <w:rFonts w:hint="eastAsia" w:ascii="宋体" w:hAnsi="宋体" w:eastAsia="宋体" w:cs="宋体"/>
          <w:kern w:val="0"/>
          <w:sz w:val="24"/>
          <w:szCs w:val="24"/>
          <w:lang w:val="en-US" w:eastAsia="zh-CN" w:bidi="ar-SA"/>
        </w:rPr>
      </w:pPr>
      <w:bookmarkStart w:id="10" w:name="bookmark23"/>
      <w:bookmarkEnd w:id="10"/>
      <w:r>
        <w:rPr>
          <w:rFonts w:hint="eastAsia" w:ascii="宋体" w:hAnsi="宋体" w:eastAsia="宋体" w:cs="宋体"/>
          <w:kern w:val="0"/>
          <w:sz w:val="24"/>
          <w:szCs w:val="24"/>
          <w:lang w:val="en-US" w:eastAsia="zh-CN" w:bidi="ar-SA"/>
        </w:rPr>
        <w:t>评分标准：考评员参照实战能力评分细则（下表），独立对</w:t>
      </w:r>
      <w:r>
        <w:rPr>
          <w:rFonts w:hint="eastAsia" w:ascii="宋体" w:hAnsi="宋体" w:eastAsia="宋体" w:cs="宋体"/>
          <w:kern w:val="0"/>
          <w:sz w:val="24"/>
          <w:szCs w:val="24"/>
          <w:lang w:val="en-US" w:eastAsia="zh-CN"/>
        </w:rPr>
        <w:t>考生</w:t>
      </w:r>
      <w:r>
        <w:rPr>
          <w:rFonts w:hint="eastAsia" w:ascii="宋体" w:hAnsi="宋体" w:eastAsia="宋体" w:cs="宋体"/>
          <w:kern w:val="0"/>
          <w:sz w:val="24"/>
          <w:szCs w:val="24"/>
          <w:lang w:val="en-US" w:eastAsia="zh-CN" w:bidi="ar-SA"/>
        </w:rPr>
        <w:t>的技术动作规范、协调程度，运用效果，战术意识以及个人实战能力等方面进行综合评定。</w:t>
      </w:r>
    </w:p>
    <w:tbl>
      <w:tblPr>
        <w:tblStyle w:val="11"/>
        <w:tblW w:w="8363" w:type="dxa"/>
        <w:tblInd w:w="-10" w:type="dxa"/>
        <w:tblLayout w:type="fixed"/>
        <w:tblCellMar>
          <w:top w:w="0" w:type="dxa"/>
          <w:left w:w="10" w:type="dxa"/>
          <w:bottom w:w="0" w:type="dxa"/>
          <w:right w:w="10" w:type="dxa"/>
        </w:tblCellMar>
      </w:tblPr>
      <w:tblGrid>
        <w:gridCol w:w="2288"/>
        <w:gridCol w:w="6075"/>
      </w:tblGrid>
      <w:tr>
        <w:tblPrEx>
          <w:tblCellMar>
            <w:top w:w="0" w:type="dxa"/>
            <w:left w:w="10" w:type="dxa"/>
            <w:bottom w:w="0" w:type="dxa"/>
            <w:right w:w="10" w:type="dxa"/>
          </w:tblCellMar>
        </w:tblPrEx>
        <w:trPr>
          <w:trHeight w:val="504" w:hRule="exact"/>
        </w:trPr>
        <w:tc>
          <w:tcPr>
            <w:tcW w:w="2288" w:type="dxa"/>
            <w:tcBorders>
              <w:top w:val="single" w:color="auto" w:sz="4" w:space="0"/>
              <w:lef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等级（分值范围）</w:t>
            </w:r>
          </w:p>
        </w:tc>
        <w:tc>
          <w:tcPr>
            <w:tcW w:w="6075" w:type="dxa"/>
            <w:tcBorders>
              <w:top w:val="single" w:color="auto" w:sz="4" w:space="0"/>
              <w:left w:val="single" w:color="auto" w:sz="4" w:space="0"/>
              <w:righ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评价标准</w:t>
            </w:r>
          </w:p>
        </w:tc>
      </w:tr>
      <w:tr>
        <w:tblPrEx>
          <w:tblCellMar>
            <w:top w:w="0" w:type="dxa"/>
            <w:left w:w="10" w:type="dxa"/>
            <w:bottom w:w="0" w:type="dxa"/>
            <w:right w:w="10" w:type="dxa"/>
          </w:tblCellMar>
        </w:tblPrEx>
        <w:trPr>
          <w:trHeight w:val="768" w:hRule="exact"/>
        </w:trPr>
        <w:tc>
          <w:tcPr>
            <w:tcW w:w="2288" w:type="dxa"/>
            <w:tcBorders>
              <w:top w:val="single" w:color="auto" w:sz="4" w:space="0"/>
              <w:lef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优（</w:t>
            </w:r>
            <w:r>
              <w:rPr>
                <w:rFonts w:hint="eastAsia" w:ascii="仿宋" w:hAnsi="仿宋" w:eastAsia="仿宋" w:cs="仿宋"/>
                <w:color w:val="000000"/>
                <w:sz w:val="24"/>
                <w:szCs w:val="24"/>
                <w:lang w:val="en-US" w:eastAsia="zh-CN"/>
              </w:rPr>
              <w:t>171—200</w:t>
            </w:r>
            <w:r>
              <w:rPr>
                <w:rFonts w:hint="eastAsia" w:ascii="仿宋" w:hAnsi="仿宋" w:eastAsia="仿宋" w:cs="仿宋"/>
                <w:color w:val="000000"/>
                <w:sz w:val="24"/>
                <w:szCs w:val="24"/>
              </w:rPr>
              <w:t>）</w:t>
            </w:r>
          </w:p>
        </w:tc>
        <w:tc>
          <w:tcPr>
            <w:tcW w:w="6075" w:type="dxa"/>
            <w:tcBorders>
              <w:top w:val="single" w:color="auto" w:sz="4" w:space="0"/>
              <w:left w:val="single" w:color="auto" w:sz="4" w:space="0"/>
              <w:righ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技术动作规范协调，运用效果良好</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战术意识及个人实战能力很强。</w:t>
            </w:r>
          </w:p>
        </w:tc>
      </w:tr>
      <w:tr>
        <w:tblPrEx>
          <w:tblCellMar>
            <w:top w:w="0" w:type="dxa"/>
            <w:left w:w="10" w:type="dxa"/>
            <w:bottom w:w="0" w:type="dxa"/>
            <w:right w:w="10" w:type="dxa"/>
          </w:tblCellMar>
        </w:tblPrEx>
        <w:trPr>
          <w:trHeight w:val="778" w:hRule="exact"/>
        </w:trPr>
        <w:tc>
          <w:tcPr>
            <w:tcW w:w="2288" w:type="dxa"/>
            <w:tcBorders>
              <w:top w:val="single" w:color="auto" w:sz="4" w:space="0"/>
              <w:left w:val="single" w:color="auto" w:sz="4" w:space="0"/>
              <w:bottom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良</w:t>
            </w:r>
            <w:r>
              <w:rPr>
                <w:rFonts w:hint="eastAsia" w:ascii="仿宋" w:hAnsi="仿宋" w:eastAsia="仿宋" w:cs="仿宋"/>
                <w:color w:val="000000"/>
                <w:sz w:val="24"/>
                <w:szCs w:val="24"/>
                <w:lang w:val="en-US" w:eastAsia="en-US"/>
              </w:rPr>
              <w:t>(</w:t>
            </w:r>
            <w:r>
              <w:rPr>
                <w:rFonts w:hint="eastAsia" w:ascii="仿宋" w:hAnsi="仿宋" w:eastAsia="仿宋" w:cs="仿宋"/>
                <w:kern w:val="0"/>
                <w:sz w:val="24"/>
                <w:szCs w:val="24"/>
                <w:lang w:val="en-US" w:eastAsia="zh-CN"/>
              </w:rPr>
              <w:t>151</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170</w:t>
            </w:r>
            <w:r>
              <w:rPr>
                <w:rFonts w:hint="eastAsia" w:ascii="仿宋" w:hAnsi="仿宋" w:eastAsia="仿宋" w:cs="仿宋"/>
                <w:color w:val="000000"/>
                <w:sz w:val="24"/>
                <w:szCs w:val="24"/>
              </w:rPr>
              <w:t>)</w:t>
            </w:r>
          </w:p>
        </w:tc>
        <w:tc>
          <w:tcPr>
            <w:tcW w:w="60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技术动作较规范协调，运用效果良好；战术意识及个人实战能力较强。</w:t>
            </w:r>
          </w:p>
        </w:tc>
      </w:tr>
      <w:tr>
        <w:tblPrEx>
          <w:tblCellMar>
            <w:top w:w="0" w:type="dxa"/>
            <w:left w:w="10" w:type="dxa"/>
            <w:bottom w:w="0" w:type="dxa"/>
            <w:right w:w="10" w:type="dxa"/>
          </w:tblCellMar>
        </w:tblPrEx>
        <w:trPr>
          <w:trHeight w:val="778" w:hRule="exact"/>
        </w:trPr>
        <w:tc>
          <w:tcPr>
            <w:tcW w:w="2288" w:type="dxa"/>
            <w:tcBorders>
              <w:top w:val="single" w:color="auto" w:sz="4" w:space="0"/>
              <w:left w:val="single" w:color="auto" w:sz="4" w:space="0"/>
              <w:bottom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中</w:t>
            </w:r>
            <w:r>
              <w:rPr>
                <w:rFonts w:hint="eastAsia" w:ascii="仿宋" w:hAnsi="仿宋" w:eastAsia="仿宋" w:cs="仿宋"/>
                <w:color w:val="000000"/>
                <w:sz w:val="24"/>
                <w:szCs w:val="24"/>
                <w:lang w:val="en-US" w:eastAsia="en-US"/>
              </w:rPr>
              <w:t>（</w:t>
            </w:r>
            <w:r>
              <w:rPr>
                <w:rFonts w:hint="eastAsia" w:ascii="仿宋" w:hAnsi="仿宋" w:eastAsia="仿宋" w:cs="仿宋"/>
                <w:kern w:val="0"/>
                <w:sz w:val="24"/>
                <w:szCs w:val="24"/>
                <w:lang w:val="en-US" w:eastAsia="zh-CN"/>
              </w:rPr>
              <w:t>121</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150</w:t>
            </w:r>
            <w:r>
              <w:rPr>
                <w:rFonts w:hint="eastAsia" w:ascii="仿宋" w:hAnsi="仿宋" w:eastAsia="仿宋" w:cs="仿宋"/>
                <w:color w:val="000000"/>
                <w:sz w:val="24"/>
                <w:szCs w:val="24"/>
              </w:rPr>
              <w:t>）</w:t>
            </w:r>
          </w:p>
        </w:tc>
        <w:tc>
          <w:tcPr>
            <w:tcW w:w="60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技术动作规范程度、协调性及运用效果一般；战术意识及个人实战能力一般。</w:t>
            </w:r>
          </w:p>
        </w:tc>
      </w:tr>
      <w:tr>
        <w:tblPrEx>
          <w:tblCellMar>
            <w:top w:w="0" w:type="dxa"/>
            <w:left w:w="10" w:type="dxa"/>
            <w:bottom w:w="0" w:type="dxa"/>
            <w:right w:w="10" w:type="dxa"/>
          </w:tblCellMar>
        </w:tblPrEx>
        <w:trPr>
          <w:trHeight w:val="778" w:hRule="exact"/>
        </w:trPr>
        <w:tc>
          <w:tcPr>
            <w:tcW w:w="2288" w:type="dxa"/>
            <w:tcBorders>
              <w:top w:val="single" w:color="auto" w:sz="4" w:space="0"/>
              <w:left w:val="single" w:color="auto" w:sz="4" w:space="0"/>
              <w:bottom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差（</w:t>
            </w:r>
            <w:r>
              <w:rPr>
                <w:rFonts w:hint="eastAsia" w:ascii="仿宋" w:hAnsi="仿宋" w:eastAsia="仿宋" w:cs="仿宋"/>
                <w:kern w:val="0"/>
                <w:sz w:val="24"/>
                <w:szCs w:val="24"/>
                <w:lang w:val="en-US" w:eastAsia="zh-CN"/>
              </w:rPr>
              <w:t>120</w:t>
            </w:r>
            <w:r>
              <w:rPr>
                <w:rFonts w:hint="eastAsia" w:ascii="仿宋" w:hAnsi="仿宋" w:eastAsia="仿宋" w:cs="仿宋"/>
                <w:kern w:val="0"/>
                <w:sz w:val="24"/>
                <w:szCs w:val="24"/>
              </w:rPr>
              <w:t>以下</w:t>
            </w:r>
            <w:r>
              <w:rPr>
                <w:rFonts w:hint="eastAsia" w:ascii="仿宋" w:hAnsi="仿宋" w:eastAsia="仿宋" w:cs="仿宋"/>
                <w:color w:val="000000"/>
                <w:sz w:val="24"/>
                <w:szCs w:val="24"/>
              </w:rPr>
              <w:t>）</w:t>
            </w:r>
          </w:p>
        </w:tc>
        <w:tc>
          <w:tcPr>
            <w:tcW w:w="60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9"/>
              <w:spacing w:line="278" w:lineRule="exact"/>
              <w:jc w:val="left"/>
              <w:rPr>
                <w:rFonts w:ascii="仿宋" w:hAnsi="仿宋" w:eastAsia="仿宋" w:cs="仿宋"/>
                <w:color w:val="000000"/>
                <w:sz w:val="24"/>
                <w:szCs w:val="24"/>
              </w:rPr>
            </w:pPr>
            <w:r>
              <w:rPr>
                <w:rFonts w:hint="eastAsia" w:ascii="仿宋" w:hAnsi="仿宋" w:eastAsia="仿宋" w:cs="仿宋"/>
                <w:color w:val="000000"/>
                <w:sz w:val="24"/>
                <w:szCs w:val="24"/>
              </w:rPr>
              <w:t>技术动作规范程度、协调性及运用效果较差；战术意识及个人实战能力较差。</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4"/>
          <w:rFonts w:ascii="Microsoft YaHei UI" w:hAnsi="Microsoft YaHei UI" w:eastAsia="Microsoft YaHei UI" w:cs="Microsoft YaHei UI"/>
          <w:i w:val="0"/>
          <w:iCs w:val="0"/>
          <w:caps w:val="0"/>
          <w:spacing w:val="150"/>
          <w:sz w:val="21"/>
          <w:szCs w:val="21"/>
          <w:shd w:val="clear" w:color="auto" w:fill="FFFFFF"/>
        </w:rPr>
      </w:pPr>
      <w:r>
        <w:rPr>
          <w:rStyle w:val="14"/>
          <w:rFonts w:ascii="Microsoft YaHei UI" w:hAnsi="Microsoft YaHei UI" w:eastAsia="Microsoft YaHei UI" w:cs="Microsoft YaHei UI"/>
          <w:i w:val="0"/>
          <w:iCs w:val="0"/>
          <w:caps w:val="0"/>
          <w:spacing w:val="150"/>
          <w:sz w:val="21"/>
          <w:szCs w:val="21"/>
          <w:shd w:val="clear" w:color="auto" w:fill="FFFFFF"/>
        </w:rPr>
        <w:t>排球（自由人）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0"/>
          <w:sz w:val="24"/>
          <w:szCs w:val="24"/>
          <w:lang w:val="en-US" w:eastAsia="zh-CN" w:bidi="ar"/>
        </w:rPr>
      </w:pPr>
      <w:r>
        <w:rPr>
          <w:rFonts w:hint="eastAsia" w:eastAsia="宋体" w:cs="宋体"/>
          <w:kern w:val="0"/>
          <w:sz w:val="24"/>
          <w:szCs w:val="24"/>
          <w:lang w:val="en-US" w:eastAsia="zh-CN" w:bidi="ar-SA"/>
        </w:rPr>
        <w:t>一</w:t>
      </w:r>
      <w:r>
        <w:rPr>
          <w:rFonts w:hint="eastAsia" w:ascii="宋体" w:hAnsi="宋体" w:eastAsia="宋体" w:cs="宋体"/>
          <w:kern w:val="0"/>
          <w:sz w:val="24"/>
          <w:szCs w:val="24"/>
          <w:lang w:val="en-US" w:eastAsia="zh-CN" w:bidi="ar-SA"/>
        </w:rPr>
        <w:t>、考核指标与所占分值</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935"/>
        <w:gridCol w:w="2880"/>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类   别</w:t>
            </w:r>
          </w:p>
        </w:tc>
        <w:tc>
          <w:tcPr>
            <w:tcW w:w="1935"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专项素质</w:t>
            </w:r>
          </w:p>
        </w:tc>
        <w:tc>
          <w:tcPr>
            <w:tcW w:w="2880"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专项技术</w:t>
            </w:r>
          </w:p>
        </w:tc>
        <w:tc>
          <w:tcPr>
            <w:tcW w:w="2003"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04"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考核指标</w:t>
            </w:r>
          </w:p>
        </w:tc>
        <w:tc>
          <w:tcPr>
            <w:tcW w:w="1935"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半米字移动</w:t>
            </w:r>
          </w:p>
        </w:tc>
        <w:tc>
          <w:tcPr>
            <w:tcW w:w="2880"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接发球</w:t>
            </w:r>
          </w:p>
        </w:tc>
        <w:tc>
          <w:tcPr>
            <w:tcW w:w="2003"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比 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分值</w:t>
            </w:r>
          </w:p>
        </w:tc>
        <w:tc>
          <w:tcPr>
            <w:tcW w:w="1935"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30</w:t>
            </w:r>
          </w:p>
        </w:tc>
        <w:tc>
          <w:tcPr>
            <w:tcW w:w="2880"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70</w:t>
            </w:r>
          </w:p>
        </w:tc>
        <w:tc>
          <w:tcPr>
            <w:tcW w:w="2003" w:type="dxa"/>
            <w:noWrap w:val="0"/>
            <w:vAlign w:val="top"/>
          </w:tcPr>
          <w:p>
            <w:pPr>
              <w:keepNext w:val="0"/>
              <w:keepLines w:val="0"/>
              <w:widowControl/>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cs="宋体"/>
                <w:kern w:val="0"/>
                <w:sz w:val="24"/>
                <w:szCs w:val="24"/>
                <w:vertAlign w:val="baseline"/>
                <w:lang w:val="en-US" w:eastAsia="zh-CN" w:bidi="ar"/>
              </w:rPr>
              <w:t>200</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二、考试方法与评分标准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（一）专项素质：“半米字”移动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1．考试方法：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考生面向球网，从起点（端线中点）起动，计时开始，先向1号点移动，击倒1号点标志物后，应立即返回起点并击倒起点处标志物，再向2号点移动，以此类推，直到击倒5号点标志物回到端线中点（须将每个标志物击倒，否则不计成绩），计时停止，记录完成的时间。每人测试2次，取最好成绩。如图4-3所示。</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362960" cy="2651125"/>
            <wp:effectExtent l="0" t="0" r="2540" b="317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8"/>
                    <a:stretch>
                      <a:fillRect/>
                    </a:stretch>
                  </pic:blipFill>
                  <pic:spPr>
                    <a:xfrm>
                      <a:off x="0" y="0"/>
                      <a:ext cx="3362960" cy="2651125"/>
                    </a:xfrm>
                    <a:prstGeom prst="rect">
                      <a:avLst/>
                    </a:prstGeom>
                    <a:noFill/>
                    <a:ln>
                      <a:noFill/>
                    </a:ln>
                  </pic:spPr>
                </pic:pic>
              </a:graphicData>
            </a:graphic>
          </wp:inline>
        </w:draw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2．评分标准：</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728210" cy="4373880"/>
            <wp:effectExtent l="0" t="0" r="8890" b="7620"/>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9"/>
                    <a:stretch>
                      <a:fillRect/>
                    </a:stretch>
                  </pic:blipFill>
                  <pic:spPr>
                    <a:xfrm>
                      <a:off x="0" y="0"/>
                      <a:ext cx="4728210" cy="4373880"/>
                    </a:xfrm>
                    <a:prstGeom prst="rect">
                      <a:avLst/>
                    </a:prstGeom>
                    <a:noFill/>
                    <a:ln>
                      <a:noFill/>
                    </a:ln>
                  </pic:spPr>
                </pic:pic>
              </a:graphicData>
            </a:graphic>
          </wp:inline>
        </w:draw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备注：考试总分为300分，因此此项评分分值在此表的基础上两倍进行计分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（二）专项技术：接发球（70分）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考试方法：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考生在规定区域内准备，接考评员从对方场区发的各种来球，左半场区接5次，右半场区接5次，共接10次来球。如图 4-4 所示。每次根据垫球进入区域的不同获得相应的分数，累计10次接发球得分为最终成绩。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 评分标准：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如图 4-5 所示，半场分为A、B两个区域，A区属于三米线以内区域，B区属于场地内三米线以外的区域。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①垫球高于球网1米以上，进入A区，得7分；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② 垫球高于球网1米以上，进入B区，得 5 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③ 垫球进入其它区域，垫球高度不够1米以上或垫球失误均不得分。</w:t>
      </w:r>
    </w:p>
    <w:p>
      <w:pPr>
        <w:keepNext w:val="0"/>
        <w:keepLines w:val="0"/>
        <w:widowControl/>
        <w:suppressLineNumbers w:val="0"/>
        <w:jc w:val="center"/>
      </w:pPr>
      <w:r>
        <w:drawing>
          <wp:inline distT="0" distB="0" distL="114300" distR="114300">
            <wp:extent cx="4640580" cy="3756025"/>
            <wp:effectExtent l="0" t="0" r="7620" b="31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640580" cy="3756025"/>
                    </a:xfrm>
                    <a:prstGeom prst="rect">
                      <a:avLst/>
                    </a:prstGeom>
                    <a:noFill/>
                    <a:ln>
                      <a:noFill/>
                    </a:ln>
                  </pic:spPr>
                </pic:pic>
              </a:graphicData>
            </a:graphic>
          </wp:inline>
        </w:drawing>
      </w:r>
    </w:p>
    <w:p>
      <w:pPr>
        <w:keepNext w:val="0"/>
        <w:keepLines w:val="0"/>
        <w:widowControl/>
        <w:suppressLineNumbers w:val="0"/>
        <w:jc w:val="left"/>
      </w:pPr>
      <w:r>
        <w:drawing>
          <wp:inline distT="0" distB="0" distL="114300" distR="114300">
            <wp:extent cx="5268595" cy="2403475"/>
            <wp:effectExtent l="0" t="0" r="190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68595" cy="2403475"/>
                    </a:xfrm>
                    <a:prstGeom prst="rect">
                      <a:avLst/>
                    </a:prstGeom>
                    <a:noFill/>
                    <a:ln>
                      <a:noFill/>
                    </a:ln>
                  </pic:spPr>
                </pic:pic>
              </a:graphicData>
            </a:graphic>
          </wp:inline>
        </w:draw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SA"/>
        </w:rPr>
        <w:t>图 4-5</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（三）实战能力：</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0分）</w:t>
      </w:r>
    </w:p>
    <w:p>
      <w:pPr>
        <w:pStyle w:val="28"/>
        <w:tabs>
          <w:tab w:val="left" w:pos="521"/>
        </w:tabs>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测试方法：视测试人数分队进行比赛（可由考评员向两边抛球进行），比赛时间10分钟，或根据轮转等实际测试情况由主考确定每组比赛时间。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评分标准：考评员参照实战能力评分细则（下表），独立对</w:t>
      </w:r>
      <w:r>
        <w:rPr>
          <w:rFonts w:hint="eastAsia" w:ascii="宋体" w:hAnsi="宋体" w:eastAsia="宋体" w:cs="宋体"/>
          <w:kern w:val="0"/>
          <w:sz w:val="24"/>
          <w:szCs w:val="24"/>
          <w:lang w:val="en-US" w:eastAsia="zh-CN"/>
        </w:rPr>
        <w:t>考生</w:t>
      </w:r>
      <w:r>
        <w:rPr>
          <w:rFonts w:hint="eastAsia" w:ascii="宋体" w:hAnsi="宋体" w:eastAsia="宋体" w:cs="宋体"/>
          <w:kern w:val="0"/>
          <w:sz w:val="24"/>
          <w:szCs w:val="24"/>
          <w:lang w:val="en-US" w:eastAsia="zh-CN" w:bidi="ar-SA"/>
        </w:rPr>
        <w:t>的技术动作规范、协调程度，运用效果，战术意识以及个人实战能力等方面进行综合评定。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表4-4自由防守人实战能力评分细则</w:t>
      </w:r>
    </w:p>
    <w:tbl>
      <w:tblPr>
        <w:tblStyle w:val="12"/>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noWrap w:val="0"/>
            <w:vAlign w:val="center"/>
          </w:tcPr>
          <w:p>
            <w:pPr>
              <w:pStyle w:val="29"/>
              <w:spacing w:line="278" w:lineRule="exact"/>
              <w:jc w:val="left"/>
              <w:rPr>
                <w:rFonts w:hint="default" w:ascii="仿宋" w:hAnsi="仿宋" w:eastAsia="仿宋" w:cs="仿宋"/>
                <w:kern w:val="0"/>
                <w:sz w:val="32"/>
                <w:szCs w:val="32"/>
                <w:lang w:val="en-US" w:eastAsia="zh-CN" w:bidi="ar-SA"/>
              </w:rPr>
            </w:pPr>
            <w:r>
              <w:rPr>
                <w:rFonts w:hint="eastAsia" w:ascii="仿宋" w:hAnsi="仿宋" w:eastAsia="仿宋" w:cs="仿宋"/>
                <w:color w:val="000000"/>
                <w:sz w:val="24"/>
                <w:szCs w:val="24"/>
              </w:rPr>
              <w:t>等级（分值范围）</w:t>
            </w:r>
          </w:p>
        </w:tc>
        <w:tc>
          <w:tcPr>
            <w:tcW w:w="6337" w:type="dxa"/>
            <w:noWrap w:val="0"/>
            <w:vAlign w:val="center"/>
          </w:tcPr>
          <w:p>
            <w:pPr>
              <w:pStyle w:val="29"/>
              <w:spacing w:line="278" w:lineRule="exact"/>
              <w:jc w:val="left"/>
              <w:rPr>
                <w:rFonts w:hint="eastAsia" w:ascii="仿宋" w:hAnsi="仿宋" w:eastAsia="仿宋" w:cs="仿宋"/>
                <w:kern w:val="0"/>
                <w:sz w:val="32"/>
                <w:szCs w:val="32"/>
                <w:lang w:val="en-US" w:eastAsia="zh-CN" w:bidi="ar-SA"/>
              </w:rPr>
            </w:pPr>
            <w:r>
              <w:rPr>
                <w:rFonts w:hint="eastAsia" w:ascii="仿宋" w:hAnsi="仿宋" w:eastAsia="仿宋" w:cs="仿宋"/>
                <w:color w:val="000000"/>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noWrap w:val="0"/>
            <w:vAlign w:val="center"/>
          </w:tcPr>
          <w:p>
            <w:pPr>
              <w:pStyle w:val="29"/>
              <w:spacing w:line="278" w:lineRule="exact"/>
              <w:jc w:val="left"/>
              <w:rPr>
                <w:rFonts w:hint="default" w:ascii="仿宋" w:hAnsi="仿宋" w:eastAsia="仿宋" w:cs="仿宋"/>
                <w:kern w:val="0"/>
                <w:sz w:val="32"/>
                <w:szCs w:val="32"/>
                <w:lang w:val="en-US" w:eastAsia="zh-CN" w:bidi="ar-SA"/>
              </w:rPr>
            </w:pPr>
            <w:r>
              <w:rPr>
                <w:rFonts w:hint="eastAsia" w:ascii="仿宋" w:hAnsi="仿宋" w:eastAsia="仿宋" w:cs="仿宋"/>
                <w:color w:val="000000"/>
                <w:sz w:val="24"/>
                <w:szCs w:val="24"/>
              </w:rPr>
              <w:t>优（</w:t>
            </w:r>
            <w:r>
              <w:rPr>
                <w:rFonts w:hint="eastAsia" w:ascii="仿宋" w:hAnsi="仿宋" w:eastAsia="仿宋" w:cs="仿宋"/>
                <w:color w:val="000000"/>
                <w:sz w:val="24"/>
                <w:szCs w:val="24"/>
                <w:lang w:val="en-US" w:eastAsia="zh-CN"/>
              </w:rPr>
              <w:t>171—200</w:t>
            </w:r>
            <w:r>
              <w:rPr>
                <w:rFonts w:hint="eastAsia" w:ascii="仿宋" w:hAnsi="仿宋" w:eastAsia="仿宋" w:cs="仿宋"/>
                <w:color w:val="000000"/>
                <w:sz w:val="24"/>
                <w:szCs w:val="24"/>
              </w:rPr>
              <w:t>）</w:t>
            </w:r>
          </w:p>
        </w:tc>
        <w:tc>
          <w:tcPr>
            <w:tcW w:w="6337" w:type="dxa"/>
            <w:noWrap w:val="0"/>
            <w:vAlign w:val="center"/>
          </w:tcPr>
          <w:p>
            <w:pPr>
              <w:pStyle w:val="29"/>
              <w:spacing w:line="278" w:lineRule="exact"/>
              <w:jc w:val="left"/>
              <w:rPr>
                <w:rFonts w:hint="default" w:ascii="仿宋" w:hAnsi="仿宋" w:eastAsia="仿宋" w:cs="仿宋"/>
                <w:kern w:val="0"/>
                <w:sz w:val="32"/>
                <w:szCs w:val="32"/>
                <w:lang w:val="en-US" w:eastAsia="zh-CN" w:bidi="ar-SA"/>
              </w:rPr>
            </w:pPr>
            <w:r>
              <w:rPr>
                <w:rFonts w:hint="eastAsia" w:ascii="仿宋" w:hAnsi="仿宋" w:eastAsia="仿宋" w:cs="仿宋"/>
                <w:color w:val="000000"/>
                <w:sz w:val="24"/>
                <w:szCs w:val="24"/>
              </w:rPr>
              <w:t>技术动作规范协调，运用效果良好</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战术意识及个人实战能力很强。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noWrap w:val="0"/>
            <w:vAlign w:val="center"/>
          </w:tcPr>
          <w:p>
            <w:pPr>
              <w:pStyle w:val="29"/>
              <w:spacing w:line="278" w:lineRule="exact"/>
              <w:jc w:val="left"/>
              <w:rPr>
                <w:rFonts w:hint="default" w:ascii="仿宋" w:hAnsi="仿宋" w:eastAsia="仿宋" w:cs="仿宋"/>
                <w:kern w:val="0"/>
                <w:sz w:val="32"/>
                <w:szCs w:val="32"/>
                <w:lang w:val="en-US" w:eastAsia="zh-CN" w:bidi="ar-SA"/>
              </w:rPr>
            </w:pPr>
            <w:r>
              <w:rPr>
                <w:rFonts w:hint="eastAsia" w:ascii="仿宋" w:hAnsi="仿宋" w:eastAsia="仿宋" w:cs="仿宋"/>
                <w:color w:val="000000"/>
                <w:sz w:val="24"/>
                <w:szCs w:val="24"/>
              </w:rPr>
              <w:t>良</w:t>
            </w:r>
            <w:r>
              <w:rPr>
                <w:rFonts w:hint="eastAsia" w:ascii="仿宋" w:hAnsi="仿宋" w:eastAsia="仿宋" w:cs="仿宋"/>
                <w:color w:val="000000"/>
                <w:sz w:val="24"/>
                <w:szCs w:val="24"/>
                <w:lang w:val="en-US" w:eastAsia="en-US"/>
              </w:rPr>
              <w:t>(</w:t>
            </w:r>
            <w:r>
              <w:rPr>
                <w:rFonts w:hint="eastAsia" w:ascii="仿宋" w:hAnsi="仿宋" w:eastAsia="仿宋" w:cs="仿宋"/>
                <w:kern w:val="0"/>
                <w:sz w:val="24"/>
                <w:szCs w:val="24"/>
                <w:lang w:val="en-US" w:eastAsia="zh-CN"/>
              </w:rPr>
              <w:t>151</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170</w:t>
            </w:r>
            <w:r>
              <w:rPr>
                <w:rFonts w:hint="eastAsia" w:ascii="仿宋" w:hAnsi="仿宋" w:eastAsia="仿宋" w:cs="仿宋"/>
                <w:color w:val="000000"/>
                <w:sz w:val="24"/>
                <w:szCs w:val="24"/>
              </w:rPr>
              <w:t>)</w:t>
            </w:r>
          </w:p>
        </w:tc>
        <w:tc>
          <w:tcPr>
            <w:tcW w:w="6337" w:type="dxa"/>
            <w:noWrap w:val="0"/>
            <w:vAlign w:val="center"/>
          </w:tcPr>
          <w:p>
            <w:pPr>
              <w:pStyle w:val="29"/>
              <w:spacing w:line="278" w:lineRule="exact"/>
              <w:jc w:val="left"/>
              <w:rPr>
                <w:rFonts w:hint="eastAsia" w:ascii="仿宋" w:hAnsi="仿宋" w:eastAsia="仿宋" w:cs="仿宋"/>
                <w:kern w:val="0"/>
                <w:sz w:val="32"/>
                <w:szCs w:val="32"/>
                <w:lang w:val="en-US" w:eastAsia="zh-CN" w:bidi="ar-SA"/>
              </w:rPr>
            </w:pPr>
            <w:r>
              <w:rPr>
                <w:rFonts w:hint="eastAsia" w:ascii="仿宋" w:hAnsi="仿宋" w:eastAsia="仿宋" w:cs="仿宋"/>
                <w:color w:val="000000"/>
                <w:sz w:val="24"/>
                <w:szCs w:val="24"/>
              </w:rPr>
              <w:t>技术动作较规范协调，运用效果良好；战术意识及个人实战能力较强。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noWrap w:val="0"/>
            <w:vAlign w:val="center"/>
          </w:tcPr>
          <w:p>
            <w:pPr>
              <w:pStyle w:val="29"/>
              <w:spacing w:line="278" w:lineRule="exact"/>
              <w:jc w:val="left"/>
              <w:rPr>
                <w:rFonts w:hint="default" w:ascii="仿宋" w:hAnsi="仿宋" w:eastAsia="仿宋" w:cs="仿宋"/>
                <w:kern w:val="0"/>
                <w:sz w:val="32"/>
                <w:szCs w:val="32"/>
                <w:lang w:val="en-US" w:eastAsia="zh-CN" w:bidi="ar-SA"/>
              </w:rPr>
            </w:pPr>
            <w:r>
              <w:rPr>
                <w:rFonts w:hint="eastAsia" w:ascii="仿宋" w:hAnsi="仿宋" w:eastAsia="仿宋" w:cs="仿宋"/>
                <w:color w:val="000000"/>
                <w:sz w:val="24"/>
                <w:szCs w:val="24"/>
              </w:rPr>
              <w:t>中</w:t>
            </w:r>
            <w:r>
              <w:rPr>
                <w:rFonts w:hint="eastAsia" w:ascii="仿宋" w:hAnsi="仿宋" w:eastAsia="仿宋" w:cs="仿宋"/>
                <w:color w:val="000000"/>
                <w:sz w:val="24"/>
                <w:szCs w:val="24"/>
                <w:lang w:val="en-US" w:eastAsia="en-US"/>
              </w:rPr>
              <w:t>（</w:t>
            </w:r>
            <w:r>
              <w:rPr>
                <w:rFonts w:hint="eastAsia" w:ascii="仿宋" w:hAnsi="仿宋" w:eastAsia="仿宋" w:cs="仿宋"/>
                <w:kern w:val="0"/>
                <w:sz w:val="24"/>
                <w:szCs w:val="24"/>
                <w:lang w:val="en-US" w:eastAsia="zh-CN"/>
              </w:rPr>
              <w:t>121</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150</w:t>
            </w:r>
            <w:r>
              <w:rPr>
                <w:rFonts w:hint="eastAsia" w:ascii="仿宋" w:hAnsi="仿宋" w:eastAsia="仿宋" w:cs="仿宋"/>
                <w:color w:val="000000"/>
                <w:sz w:val="24"/>
                <w:szCs w:val="24"/>
              </w:rPr>
              <w:t>）</w:t>
            </w:r>
          </w:p>
        </w:tc>
        <w:tc>
          <w:tcPr>
            <w:tcW w:w="6337" w:type="dxa"/>
            <w:noWrap w:val="0"/>
            <w:vAlign w:val="center"/>
          </w:tcPr>
          <w:p>
            <w:pPr>
              <w:pStyle w:val="29"/>
              <w:spacing w:line="278" w:lineRule="exact"/>
              <w:jc w:val="left"/>
              <w:rPr>
                <w:rFonts w:hint="eastAsia" w:ascii="仿宋" w:hAnsi="仿宋" w:eastAsia="仿宋" w:cs="仿宋"/>
                <w:kern w:val="0"/>
                <w:sz w:val="32"/>
                <w:szCs w:val="32"/>
                <w:lang w:val="en-US" w:eastAsia="zh-CN" w:bidi="ar-SA"/>
              </w:rPr>
            </w:pPr>
            <w:r>
              <w:rPr>
                <w:rFonts w:hint="eastAsia" w:ascii="仿宋" w:hAnsi="仿宋" w:eastAsia="仿宋" w:cs="仿宋"/>
                <w:color w:val="000000"/>
                <w:sz w:val="24"/>
                <w:szCs w:val="24"/>
              </w:rPr>
              <w:t>技术动作规范程度、协调性及运用效果一般；战术意识及个人实战能力一般。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noWrap w:val="0"/>
            <w:vAlign w:val="center"/>
          </w:tcPr>
          <w:p>
            <w:pPr>
              <w:pStyle w:val="29"/>
              <w:spacing w:line="278" w:lineRule="exact"/>
              <w:jc w:val="left"/>
              <w:rPr>
                <w:rFonts w:hint="default" w:ascii="仿宋" w:hAnsi="仿宋" w:eastAsia="仿宋" w:cs="仿宋"/>
                <w:kern w:val="0"/>
                <w:sz w:val="32"/>
                <w:szCs w:val="32"/>
                <w:lang w:val="en-US" w:eastAsia="zh-CN" w:bidi="ar-SA"/>
              </w:rPr>
            </w:pPr>
            <w:r>
              <w:rPr>
                <w:rFonts w:hint="eastAsia" w:ascii="仿宋" w:hAnsi="仿宋" w:eastAsia="仿宋" w:cs="仿宋"/>
                <w:color w:val="000000"/>
                <w:sz w:val="24"/>
                <w:szCs w:val="24"/>
              </w:rPr>
              <w:t>差（</w:t>
            </w:r>
            <w:r>
              <w:rPr>
                <w:rFonts w:hint="eastAsia" w:ascii="仿宋" w:hAnsi="仿宋" w:eastAsia="仿宋" w:cs="仿宋"/>
                <w:kern w:val="0"/>
                <w:sz w:val="24"/>
                <w:szCs w:val="24"/>
                <w:lang w:val="en-US" w:eastAsia="zh-CN"/>
              </w:rPr>
              <w:t>120</w:t>
            </w:r>
            <w:r>
              <w:rPr>
                <w:rFonts w:hint="eastAsia" w:ascii="仿宋" w:hAnsi="仿宋" w:eastAsia="仿宋" w:cs="仿宋"/>
                <w:kern w:val="0"/>
                <w:sz w:val="24"/>
                <w:szCs w:val="24"/>
              </w:rPr>
              <w:t>以下</w:t>
            </w:r>
            <w:r>
              <w:rPr>
                <w:rFonts w:hint="eastAsia" w:ascii="仿宋" w:hAnsi="仿宋" w:eastAsia="仿宋" w:cs="仿宋"/>
                <w:color w:val="000000"/>
                <w:sz w:val="24"/>
                <w:szCs w:val="24"/>
              </w:rPr>
              <w:t>）</w:t>
            </w:r>
          </w:p>
        </w:tc>
        <w:tc>
          <w:tcPr>
            <w:tcW w:w="6337" w:type="dxa"/>
            <w:noWrap w:val="0"/>
            <w:vAlign w:val="center"/>
          </w:tcPr>
          <w:p>
            <w:pPr>
              <w:pStyle w:val="29"/>
              <w:spacing w:line="278" w:lineRule="exact"/>
              <w:jc w:val="left"/>
              <w:rPr>
                <w:rFonts w:hint="eastAsia" w:ascii="仿宋" w:hAnsi="仿宋" w:eastAsia="仿宋" w:cs="仿宋"/>
                <w:kern w:val="0"/>
                <w:sz w:val="32"/>
                <w:szCs w:val="32"/>
                <w:lang w:val="en-US" w:eastAsia="zh-CN" w:bidi="ar-SA"/>
              </w:rPr>
            </w:pPr>
            <w:r>
              <w:rPr>
                <w:rFonts w:hint="eastAsia" w:ascii="仿宋" w:hAnsi="仿宋" w:eastAsia="仿宋" w:cs="仿宋"/>
                <w:color w:val="000000"/>
                <w:sz w:val="24"/>
                <w:szCs w:val="24"/>
              </w:rPr>
              <w:t>技术动作规范程度、协调性及运用效果较差；战术意识及个人实战能力较差。</w:t>
            </w:r>
          </w:p>
        </w:tc>
      </w:tr>
    </w:tbl>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p>
    <w:p>
      <w:pPr>
        <w:ind w:firstLine="241" w:firstLineChars="1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武术（舞狮）</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300分</w:t>
      </w:r>
      <w:r>
        <w:rPr>
          <w:rFonts w:hint="eastAsia" w:ascii="宋体" w:hAnsi="宋体" w:eastAsia="宋体" w:cs="宋体"/>
          <w:b/>
          <w:bCs/>
          <w:sz w:val="24"/>
          <w:szCs w:val="24"/>
          <w:lang w:eastAsia="zh-CN"/>
        </w:rPr>
        <w:t>）</w:t>
      </w:r>
    </w:p>
    <w:p>
      <w:pPr>
        <w:jc w:val="center"/>
        <w:rPr>
          <w:rFonts w:hint="eastAsia" w:ascii="宋体" w:hAnsi="宋体" w:eastAsia="宋体" w:cs="宋体"/>
          <w:b/>
          <w:bCs/>
          <w:sz w:val="24"/>
          <w:szCs w:val="24"/>
          <w:lang w:eastAsia="zh-CN"/>
        </w:rPr>
      </w:pPr>
    </w:p>
    <w:p>
      <w:pPr>
        <w:widowControl w:val="0"/>
        <w:numPr>
          <w:ilvl w:val="0"/>
          <w:numId w:val="3"/>
        </w:numPr>
        <w:ind w:left="720" w:hanging="7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基本形态（30分）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测试内容：体型与形象</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成绩评定：由考评员通过目测对考生的身材比例、肌肉线条、形象、气质等进行评定。</w:t>
      </w:r>
    </w:p>
    <w:p>
      <w:pPr>
        <w:widowControl w:val="0"/>
        <w:numPr>
          <w:ilvl w:val="0"/>
          <w:numId w:val="3"/>
        </w:numPr>
        <w:ind w:left="720" w:hanging="7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基本技术（60分）</w:t>
      </w:r>
    </w:p>
    <w:p>
      <w:pPr>
        <w:widowControl w:val="0"/>
        <w:numPr>
          <w:ilvl w:val="0"/>
          <w:numId w:val="4"/>
        </w:numPr>
        <w:ind w:left="360" w:hanging="36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左右正踢腿（20分）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测试内容：考生行进间连续完成左右腿各5次正踢腿。</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成绩评定：考评员根据考生正踢腿的技术、高度、速度及身体基本姿态等因素进行评分。</w:t>
      </w:r>
    </w:p>
    <w:p>
      <w:pPr>
        <w:widowControl w:val="0"/>
        <w:numPr>
          <w:ilvl w:val="0"/>
          <w:numId w:val="4"/>
        </w:numPr>
        <w:ind w:left="360" w:hanging="36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腾空飞腿（20分）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测试内容：考生按照预备、助跑、起跳的技术环节完成二次腾空飞腿动作。</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成绩评定：考评员根据考生完成腾空飞脚的动作质量、规格以及腾空高度等因素进行评分。</w:t>
      </w:r>
    </w:p>
    <w:p>
      <w:pPr>
        <w:widowControl w:val="0"/>
        <w:numPr>
          <w:ilvl w:val="0"/>
          <w:numId w:val="4"/>
        </w:numPr>
        <w:ind w:left="360" w:hanging="36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大跃步前穿（20分）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测试内容：考生按照提膝预备、起跳的技术环节完成二次大跃步前穿动作。</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成绩评定：考评员根据考生完成大跃步前穿的动作质量、规格等因素进行评分。</w:t>
      </w:r>
    </w:p>
    <w:p>
      <w:pPr>
        <w:widowControl w:val="0"/>
        <w:numPr>
          <w:ilvl w:val="0"/>
          <w:numId w:val="3"/>
        </w:numPr>
        <w:ind w:left="720" w:hanging="7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专项能力（180分）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测试内容：自选成套动作，即考生在武术套路、舞狮两个项目中任选一个项目自编成套动作进行测试，考试要求如下：</w:t>
      </w:r>
    </w:p>
    <w:p>
      <w:pPr>
        <w:widowControl w:val="0"/>
        <w:numPr>
          <w:ilvl w:val="0"/>
          <w:numId w:val="0"/>
        </w:numPr>
        <w:ind w:left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1、武术套路：考生自编符合武术拳种、器械等项目风格和技术特点，能展示自身武术运动技能水平的成套动作。成套时间太极拳为：2—3分钟，其余成套时间为60—90秒。</w:t>
      </w:r>
    </w:p>
    <w:p>
      <w:pPr>
        <w:widowControl w:val="0"/>
        <w:numPr>
          <w:ilvl w:val="0"/>
          <w:numId w:val="0"/>
        </w:numPr>
        <w:ind w:left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2、舞狮：考生自编能符合舞狮运动风格和技术特点，展示自身舞狮技术水平的成套动作完成演练，成套时间为1—2分钟。</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成绩评定：考评员根据成套动作的项目风格特点、技术规格、完成质量、艺术表现力、编排动作与音乐配合难度水平等方面进行评分。</w:t>
      </w:r>
    </w:p>
    <w:p>
      <w:pPr>
        <w:widowControl w:val="0"/>
        <w:numPr>
          <w:ilvl w:val="0"/>
          <w:numId w:val="3"/>
        </w:numPr>
        <w:ind w:left="720" w:hanging="7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才艺展示（30分）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测试内容：配乐完成除自身专项能力测试套路以外、具有本专业表演特点的动作组合，时间为30—60秒，音乐自备。</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成绩评定：考评员根据考生展示组合的特色、技术技巧能力、动作姿势规范性、艺术表现力、以及对专业拓展的需要性进行评分。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（五）其他</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1、考生参加考试时，必须身着运动服或武术（舞狮）表演服装，严禁穿戴具有明显个人、单位或机构标识的衣服、鞋袜或装饰（如XXX中学、培训机构、或特殊图案等），否则不予参加测试。</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2、考生所需器材与设备自备。</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3、舞狮专项能力考试部分，如需配对完成，考生自行解决配对人选。</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4、由考生自备U盘，要求U盘上仅有本次考试所用音乐。考试中如发生U盘音质不清问题，一律由考生本人负责。</w:t>
      </w:r>
    </w:p>
    <w:p>
      <w:pPr>
        <w:rPr>
          <w:rFonts w:hint="eastAsia" w:ascii="宋体" w:hAnsi="宋体" w:eastAsia="宋体" w:cs="宋体"/>
          <w:kern w:val="0"/>
          <w:sz w:val="24"/>
          <w:szCs w:val="24"/>
          <w:lang w:val="en-US" w:eastAsia="zh-CN" w:bidi="ar-SA"/>
        </w:rPr>
      </w:pPr>
    </w:p>
    <w:p>
      <w:pPr>
        <w:ind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五、羽毛球项目（300分）</w:t>
      </w:r>
    </w:p>
    <w:p>
      <w:pPr>
        <w:ind w:firstLine="482" w:firstLineChars="200"/>
        <w:rPr>
          <w:rFonts w:hint="default" w:ascii="宋体" w:hAnsi="宋体" w:eastAsia="宋体" w:cs="宋体"/>
          <w:b/>
          <w:bCs/>
          <w:kern w:val="0"/>
          <w:sz w:val="24"/>
          <w:szCs w:val="24"/>
          <w:lang w:val="en-US" w:eastAsia="zh-CN" w:bidi="ar-SA"/>
        </w:rPr>
      </w:pP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（一）身体素质考核项目：</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四角位置移动（60分）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考生站位于单打场地的正中位置（O点）。听到指令后从（O点）移到（A点），（A点）返回（O点）；从（O点）移到（B点），（B点）返回（O点）；从（O点）移到（C点），（C点）返回（O点）；从（O点）移到（D点），（D点）返回（O点）。重复二次，记时计算成绩。（见图一）</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w:t>
      </w:r>
      <w:r>
        <w:rPr>
          <w:rFonts w:hint="eastAsia" w:ascii="宋体" w:hAnsi="宋体" w:eastAsia="宋体" w:cs="宋体"/>
          <w:kern w:val="0"/>
          <w:sz w:val="24"/>
          <w:szCs w:val="24"/>
          <w:lang w:val="en-US" w:eastAsia="zh-CN" w:bidi="ar-SA"/>
        </w:rPr>
        <w:drawing>
          <wp:inline distT="0" distB="0" distL="114300" distR="114300">
            <wp:extent cx="2305050" cy="2686050"/>
            <wp:effectExtent l="0" t="0" r="6350" b="6350"/>
            <wp:docPr id="5"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56"/>
                    <pic:cNvPicPr>
                      <a:picLocks noChangeAspect="1"/>
                    </pic:cNvPicPr>
                  </pic:nvPicPr>
                  <pic:blipFill>
                    <a:blip r:embed="rId12"/>
                    <a:stretch>
                      <a:fillRect/>
                    </a:stretch>
                  </pic:blipFill>
                  <pic:spPr>
                    <a:xfrm>
                      <a:off x="0" y="0"/>
                      <a:ext cx="2305050" cy="2686050"/>
                    </a:xfrm>
                    <a:prstGeom prst="rect">
                      <a:avLst/>
                    </a:prstGeom>
                    <a:noFill/>
                    <a:ln>
                      <a:noFill/>
                    </a:ln>
                  </pic:spPr>
                </pic:pic>
              </a:graphicData>
            </a:graphic>
          </wp:inline>
        </w:drawing>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（二）基本技术考核项目：</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1、正手击直线高远球（60分）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动作要求：受试者持球拍站在球场后场，距离端线2.5米区域内。将教练或队员发出的高远球分别用正手上手高远球技术和侧身头顶击高球技术将球击出。球必须垂直下落到发球区的双打后发球线到端线之间的区域内，每人击打球10次。</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2、正手发高远球（60分）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动作要求：受试者从单打场地的左和右发球区内分别发出高远球。发出的球应以较高的弧线飞行，垂直下落到斜对角发球区的双打后发球线到端线之间的区域内。左右各发5个球。（见评分标准）</w:t>
      </w:r>
    </w:p>
    <w:p>
      <w:pPr>
        <w:ind w:firstLine="480" w:firstLineChars="200"/>
        <w:rPr>
          <w:rFonts w:hint="eastAsia" w:ascii="宋体" w:hAnsi="宋体" w:eastAsia="宋体" w:cs="宋体"/>
          <w:kern w:val="0"/>
          <w:sz w:val="24"/>
          <w:szCs w:val="24"/>
          <w:lang w:val="en-US" w:eastAsia="zh-CN" w:bidi="ar-SA"/>
        </w:rPr>
      </w:pPr>
    </w:p>
    <w:p>
      <w:pPr>
        <w:ind w:firstLine="480" w:firstLineChars="200"/>
        <w:rPr>
          <w:rFonts w:hint="eastAsia" w:ascii="宋体" w:hAnsi="宋体" w:eastAsia="宋体" w:cs="宋体"/>
          <w:kern w:val="0"/>
          <w:sz w:val="24"/>
          <w:szCs w:val="24"/>
          <w:lang w:val="en-US" w:eastAsia="zh-CN" w:bidi="ar-SA"/>
        </w:rPr>
      </w:pPr>
    </w:p>
    <w:p>
      <w:pPr>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评分标准：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205"/>
        <w:gridCol w:w="312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eastAsia" w:ascii="宋体" w:hAnsi="宋体" w:eastAsia="宋体" w:cs="宋体"/>
                <w:b/>
                <w:bCs/>
                <w:kern w:val="0"/>
                <w:sz w:val="24"/>
                <w:szCs w:val="24"/>
                <w:vertAlign w:val="baseline"/>
                <w:lang w:val="en-US" w:eastAsia="zh-CN"/>
              </w:rPr>
            </w:pPr>
            <w:r>
              <w:rPr>
                <w:rFonts w:hint="eastAsia" w:ascii="宋体" w:hAnsi="宋体" w:eastAsia="宋体" w:cs="宋体"/>
                <w:b/>
                <w:bCs/>
                <w:kern w:val="0"/>
                <w:sz w:val="24"/>
                <w:szCs w:val="24"/>
                <w:vertAlign w:val="baseline"/>
                <w:lang w:val="en-US" w:eastAsia="zh-CN"/>
              </w:rPr>
              <w:t>分值</w:t>
            </w:r>
          </w:p>
        </w:tc>
        <w:tc>
          <w:tcPr>
            <w:tcW w:w="2205" w:type="dxa"/>
            <w:noWrap w:val="0"/>
            <w:vAlign w:val="top"/>
          </w:tcPr>
          <w:p>
            <w:pPr>
              <w:widowControl/>
              <w:spacing w:before="100" w:after="100" w:line="360" w:lineRule="auto"/>
              <w:jc w:val="center"/>
              <w:rPr>
                <w:rFonts w:hint="default" w:ascii="宋体" w:hAnsi="宋体" w:eastAsia="宋体" w:cs="宋体"/>
                <w:b/>
                <w:bCs/>
                <w:kern w:val="0"/>
                <w:sz w:val="24"/>
                <w:szCs w:val="24"/>
                <w:vertAlign w:val="baseline"/>
                <w:lang w:val="en-US" w:eastAsia="zh-CN"/>
              </w:rPr>
            </w:pPr>
            <w:r>
              <w:rPr>
                <w:rFonts w:hint="eastAsia" w:ascii="宋体" w:hAnsi="宋体" w:eastAsia="宋体" w:cs="宋体"/>
                <w:b/>
                <w:bCs/>
                <w:kern w:val="0"/>
                <w:sz w:val="24"/>
                <w:szCs w:val="24"/>
                <w:vertAlign w:val="baseline"/>
                <w:lang w:val="en-US" w:eastAsia="zh-CN"/>
              </w:rPr>
              <w:t>四点位置移动</w:t>
            </w:r>
          </w:p>
        </w:tc>
        <w:tc>
          <w:tcPr>
            <w:tcW w:w="3124" w:type="dxa"/>
            <w:noWrap w:val="0"/>
            <w:vAlign w:val="top"/>
          </w:tcPr>
          <w:p>
            <w:pPr>
              <w:widowControl/>
              <w:spacing w:before="100" w:after="100" w:line="360" w:lineRule="auto"/>
              <w:jc w:val="center"/>
              <w:rPr>
                <w:rFonts w:hint="default" w:ascii="宋体" w:hAnsi="宋体" w:eastAsia="宋体" w:cs="宋体"/>
                <w:b/>
                <w:bCs/>
                <w:kern w:val="0"/>
                <w:sz w:val="24"/>
                <w:szCs w:val="24"/>
                <w:vertAlign w:val="baseline"/>
                <w:lang w:val="en-US" w:eastAsia="zh-CN"/>
              </w:rPr>
            </w:pPr>
            <w:r>
              <w:rPr>
                <w:rFonts w:hint="eastAsia" w:ascii="宋体" w:hAnsi="宋体" w:eastAsia="宋体" w:cs="宋体"/>
                <w:b/>
                <w:bCs/>
                <w:kern w:val="0"/>
                <w:sz w:val="24"/>
                <w:szCs w:val="24"/>
                <w:vertAlign w:val="baseline"/>
                <w:lang w:val="en-US" w:eastAsia="zh-CN"/>
              </w:rPr>
              <w:t>正手击直线后场高远球</w:t>
            </w:r>
          </w:p>
        </w:tc>
        <w:tc>
          <w:tcPr>
            <w:tcW w:w="2131" w:type="dxa"/>
            <w:noWrap w:val="0"/>
            <w:vAlign w:val="top"/>
          </w:tcPr>
          <w:p>
            <w:pPr>
              <w:widowControl/>
              <w:spacing w:before="100" w:after="100" w:line="360" w:lineRule="auto"/>
              <w:jc w:val="center"/>
              <w:rPr>
                <w:rFonts w:hint="default" w:ascii="宋体" w:hAnsi="宋体" w:eastAsia="宋体" w:cs="宋体"/>
                <w:b/>
                <w:bCs/>
                <w:kern w:val="0"/>
                <w:sz w:val="24"/>
                <w:szCs w:val="24"/>
                <w:vertAlign w:val="baseline"/>
                <w:lang w:val="en-US" w:eastAsia="zh-CN"/>
              </w:rPr>
            </w:pPr>
            <w:r>
              <w:rPr>
                <w:rFonts w:hint="eastAsia" w:ascii="宋体" w:hAnsi="宋体" w:eastAsia="宋体" w:cs="宋体"/>
                <w:b/>
                <w:bCs/>
                <w:kern w:val="0"/>
                <w:sz w:val="24"/>
                <w:szCs w:val="24"/>
                <w:vertAlign w:val="baseline"/>
                <w:lang w:val="en-US" w:eastAsia="zh-CN"/>
              </w:rPr>
              <w:t>正手发高远球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60</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22”</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8</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54</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22.5”</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7</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48</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23”</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6</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42</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24”</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36</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24.5”</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30</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25”</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24</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26”</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18</w:t>
            </w:r>
          </w:p>
        </w:tc>
        <w:tc>
          <w:tcPr>
            <w:tcW w:w="2205" w:type="dxa"/>
            <w:noWrap w:val="0"/>
            <w:vAlign w:val="top"/>
          </w:tcPr>
          <w:p>
            <w:pPr>
              <w:widowControl/>
              <w:spacing w:before="100" w:after="100" w:line="360" w:lineRule="auto"/>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27”</w:t>
            </w:r>
          </w:p>
        </w:tc>
        <w:tc>
          <w:tcPr>
            <w:tcW w:w="3124"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2131" w:type="dxa"/>
            <w:noWrap w:val="0"/>
            <w:vAlign w:val="top"/>
          </w:tcPr>
          <w:p>
            <w:pPr>
              <w:widowControl/>
              <w:spacing w:before="100" w:after="100" w:line="360" w:lineRule="auto"/>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r>
    </w:tbl>
    <w:p>
      <w:pPr>
        <w:rPr>
          <w:rFonts w:hint="eastAsia" w:ascii="宋体" w:hAnsi="宋体" w:eastAsia="宋体" w:cs="宋体"/>
          <w:kern w:val="0"/>
          <w:sz w:val="24"/>
          <w:szCs w:val="24"/>
          <w:lang w:val="en-US" w:eastAsia="zh-CN" w:bidi="ar-SA"/>
        </w:rPr>
      </w:pP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（三）实战比赛（120分）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1、办法：考生进行单打实战比赛，原则上打一局（11分制）。比赛对手由考评老师指派，（或考生抽签确定）裁判由考评员担任。</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2、要求：考生必须认真比赛，发挥技、战术水平，服从裁判的判决，争取优异成绩。</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3、评分标准：</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优：91-120</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攻守技术全面，判断能力强，技、战术意识强，运用合理。</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良：61-90</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攻守技术比较全面，判断能力强，技、战术意识较强，运用较强。</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中：31-60</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攻守技术不全面，判断能力一般，技、战术意识、运用一般。</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差：0-30</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攻守技术差，判断能力差，技、战术意识、运用差。</w:t>
      </w:r>
    </w:p>
    <w:p>
      <w:pPr>
        <w:ind w:firstLine="241" w:firstLineChars="1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六、舞蹈项目（300分）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1、考试内容与要求 </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成品舞表演（210分）+基本功、技巧（90 分）。</w:t>
      </w:r>
    </w:p>
    <w:p>
      <w:pPr>
        <w:numPr>
          <w:ilvl w:val="0"/>
          <w:numId w:val="5"/>
        </w:num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成品舞表演：一个成品舞，要求为古典舞、民族民间舞，时长在 5 分钟以内。考生需统一着黑色练功服进行表演，不得穿戴任何装饰性（如头饰、裙子等）服饰入场，表演道具（如扇子、鼓、水 袖、剑等）除外，以充分展现考生的自然条件为原则。（音乐和道具自备）</w:t>
      </w:r>
    </w:p>
    <w:p>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（2）体育舞蹈及啦啦操：</w:t>
      </w:r>
      <w:r>
        <w:rPr>
          <w:rFonts w:hint="eastAsia" w:ascii="宋体" w:hAnsi="宋体" w:eastAsia="宋体" w:cs="宋体"/>
          <w:color w:val="000000"/>
          <w:kern w:val="0"/>
          <w:sz w:val="24"/>
          <w:szCs w:val="24"/>
          <w:lang w:val="en-US" w:eastAsia="zh-CN" w:bidi="ar"/>
        </w:rPr>
        <w:t>伦巴、恰恰、桑巴、牛仔、斗牛、华尔兹、探戈、维也纳华尔兹（任选三项）；啦啦操（街舞、爵士、花球）；单项的国际标准舞，舞蹈动作包括规定组合和自编组合两部分。先进行规定组合演示，然后接着进行自编组合演示，一曲不间断完成。</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（3）基本功测试：</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A、腰腿的软开度：开度、横叉、竖叉、双脚站立下腰、站立或卧地搬前、旁、后腿。测试考生腰腿的软开度、动作的协调美感、舞姿的控制能力、弹跳能力及技巧的规范性和完成程度。</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B、技 巧：舞姿的跳跃、单腿转、平转、翻身、翻前桥、后桥等。时长在 2 分钟以内。</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2、评分标准</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（1）成品舞表演(210分)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等  级（分）</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优秀200-210</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形体条件好，选跳的作品程度较难并且很完整，作品动作熟练，风格把握准确，节奏清晰，有较强的表演能力和肢体语言表现力，形象佳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良好180-199</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形体条件好，选跳作品表现较完整，难度适中，风格把握较准确，节奏把握较准确，具有一定的表演能力和肢体语言表现力，舞蹈气质、形象较佳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一般 160-179</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形体条件一般，作品表现不够完整，选跳作品难度较小，舞蹈节奏把握不准确，舞蹈风格的表现把握不够准确，表演能力与肢体表现力较弱，形象一般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差 160分以下</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形体条件较差，选跳作品表现不完整，选跳作品简单，舞蹈节奏感较差，舞蹈风格的表现把握较差，表演能力与肢体表现力较差，形象较差</w:t>
            </w:r>
          </w:p>
        </w:tc>
      </w:tr>
    </w:tbl>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（2）基本功、技巧（90分)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8"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等  级（分）</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优秀80-90</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1、软开：搬前、旁、后腿达到 180 度或大于 180 度，垮根位置准确，控腿时位置不变，稳定性好，做到开、绷、直</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2、平转：速度、力度、稳定性较好，姿态准确，数量达到 8-16个</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3、大跳：双腿的开度较好，弹跳的高度较好，能做到开、绷、直，姿态准确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良好60-79</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1、软开：搬前、旁、后腿到 120-170 度之间，垮根位置准确，控腿时位置一般，稳定性一般，做到开、绷、直</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2、平转：速度、力度、稳定性较好，姿态准确，数量达到5-8个</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3、大跳：双腿的开度一般，弹跳的高度一般，基本做到开、绷、直，姿态一般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一般 50-59</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1、软开：搬前、旁、后腿到 90-110 度之间，垮根位置一般，控腿时位置不完不确定，稳定性较差，开、绷、直不够好</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2、平转：速度、力度、稳定性较好，姿态准确，数量达到5个</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3、大跳：能完成跳跃动作，但开度、高度、姿态不好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dxa"/>
            <w:noWrap w:val="0"/>
            <w:vAlign w:val="center"/>
          </w:tcPr>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差 50分以下</w:t>
            </w:r>
          </w:p>
        </w:tc>
        <w:tc>
          <w:tcPr>
            <w:tcW w:w="6004" w:type="dxa"/>
            <w:noWrap w:val="0"/>
            <w:vAlign w:val="center"/>
          </w:tcPr>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1、软开：搬前、旁、后腿到低于 90 度，垮根位置不准确，无法控腿，稳定性较差，无法做到开、绷、直</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2、平转：速度、力度、稳定性较好，姿态准确，数量达到1个</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3、大跳：无法完成跳跃动作</w:t>
            </w:r>
          </w:p>
        </w:tc>
      </w:tr>
    </w:tbl>
    <w:p>
      <w:pPr>
        <w:ind w:firstLine="480" w:firstLineChars="200"/>
        <w:rPr>
          <w:rFonts w:hint="eastAsia" w:ascii="宋体" w:hAnsi="宋体" w:eastAsia="宋体" w:cs="宋体"/>
          <w:kern w:val="0"/>
          <w:sz w:val="24"/>
          <w:szCs w:val="24"/>
          <w:lang w:val="en-US" w:eastAsia="zh-CN" w:bidi="ar-SA"/>
        </w:rPr>
      </w:pPr>
    </w:p>
    <w:p>
      <w:pPr>
        <w:ind w:firstLine="480" w:firstLineChars="200"/>
        <w:rPr>
          <w:rFonts w:hint="eastAsia" w:ascii="宋体" w:hAnsi="宋体" w:eastAsia="宋体" w:cs="宋体"/>
          <w:kern w:val="0"/>
          <w:sz w:val="24"/>
          <w:szCs w:val="24"/>
          <w:lang w:val="en-US" w:eastAsia="zh-CN" w:bidi="ar-SA"/>
        </w:rPr>
      </w:pPr>
    </w:p>
    <w:p>
      <w:pPr>
        <w:numPr>
          <w:ilvl w:val="0"/>
          <w:numId w:val="0"/>
        </w:numPr>
        <w:ind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七、录取</w:t>
      </w:r>
    </w:p>
    <w:p>
      <w:pPr>
        <w:numPr>
          <w:ilvl w:val="0"/>
          <w:numId w:val="6"/>
        </w:numPr>
        <w:spacing w:line="360" w:lineRule="auto"/>
        <w:ind w:left="48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体育特长生类考生按照文化素质测试成绩（300分）+技能测试成绩专项测试（300分）进行核算，满分600分，其中专项技能未能达到180分以上的考生不予以录取。</w:t>
      </w:r>
    </w:p>
    <w:p>
      <w:pPr>
        <w:numPr>
          <w:ilvl w:val="0"/>
          <w:numId w:val="6"/>
        </w:numPr>
        <w:spacing w:line="360" w:lineRule="auto"/>
        <w:ind w:left="480" w:leftChars="0" w:firstLine="0" w:firstLineChars="0"/>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按照不同专项报考人数及计划数确定录取比例，按院校志愿优先原则，依据考生单招总成绩从高分到低分择优录取。总成绩相同时，按照职业技能测试成绩、文化素质测试成绩排列；如成绩仍相同，按专项测试成绩排列。</w:t>
      </w:r>
      <w:r>
        <w:rPr>
          <w:rFonts w:hint="eastAsia" w:ascii="宋体" w:hAnsi="宋体" w:cs="宋体"/>
          <w:b w:val="0"/>
          <w:bCs w:val="0"/>
          <w:kern w:val="0"/>
          <w:sz w:val="24"/>
          <w:szCs w:val="24"/>
          <w:lang w:val="en-US" w:eastAsia="zh-CN" w:bidi="ar-SA"/>
        </w:rPr>
        <w:t>各小项计划不予调整，未完成计划均转到普通类别录取。</w:t>
      </w:r>
    </w:p>
    <w:p>
      <w:pPr>
        <w:numPr>
          <w:ilvl w:val="0"/>
          <w:numId w:val="6"/>
        </w:numPr>
        <w:spacing w:line="360" w:lineRule="auto"/>
        <w:ind w:left="480" w:leftChars="0" w:firstLine="0" w:firstLineChars="0"/>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拟录取考生名单公示结束后报湖南省教育考试院，由省考试院投档录取。单招录取的学生不能参加本年度统一高考和普通高校对口招生考试，不得转学。</w:t>
      </w:r>
    </w:p>
    <w:p>
      <w:pPr>
        <w:numPr>
          <w:ilvl w:val="0"/>
          <w:numId w:val="6"/>
        </w:numPr>
        <w:spacing w:line="360" w:lineRule="auto"/>
        <w:ind w:left="480" w:leftChars="0" w:firstLine="0" w:firstLineChars="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新生入校1个月内，我校将对其进行专项水平复查。对于弄虚作假者一旦查实，将按教育部有关规定进行处理，直至取消入学资格并追究相关责任。</w:t>
      </w:r>
    </w:p>
    <w:p>
      <w:pPr>
        <w:numPr>
          <w:ilvl w:val="0"/>
          <w:numId w:val="0"/>
        </w:numPr>
        <w:ind w:left="480" w:leftChars="0"/>
        <w:rPr>
          <w:rFonts w:hint="eastAsia" w:ascii="宋体" w:hAnsi="宋体" w:eastAsia="宋体" w:cs="宋体"/>
          <w:b w:val="0"/>
          <w:bCs w:val="0"/>
          <w:kern w:val="0"/>
          <w:sz w:val="24"/>
          <w:szCs w:val="24"/>
          <w:lang w:val="en-US" w:eastAsia="zh-CN" w:bidi="ar-SA"/>
        </w:rPr>
      </w:pPr>
    </w:p>
    <w:p>
      <w:pPr>
        <w:numPr>
          <w:ilvl w:val="0"/>
          <w:numId w:val="7"/>
        </w:numPr>
        <w:ind w:left="0" w:leftChars="0" w:firstLine="482" w:firstLineChars="200"/>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管理条例</w:t>
      </w:r>
    </w:p>
    <w:p>
      <w:pPr>
        <w:numPr>
          <w:ilvl w:val="0"/>
          <w:numId w:val="8"/>
        </w:numPr>
        <w:spacing w:line="360" w:lineRule="auto"/>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我校录取的体育特长生在校学习期间，必须遵守学校的有关规定，服从安排，参加学校组织的有关体育训练和比赛活动，承担个人应尽的义务；否则，运动员管理委员会办法予以开除运动队，并建议劝退学处理。</w:t>
      </w:r>
    </w:p>
    <w:p>
      <w:pPr>
        <w:numPr>
          <w:ilvl w:val="0"/>
          <w:numId w:val="8"/>
        </w:numPr>
        <w:spacing w:line="360" w:lineRule="auto"/>
        <w:ind w:firstLine="480" w:firstLineChars="200"/>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在校期间代表学校获得省级以上比赛获奖的学生，按我校相关奖励政策予以奖励。</w:t>
      </w:r>
    </w:p>
    <w:p>
      <w:pPr>
        <w:numPr>
          <w:ilvl w:val="0"/>
          <w:numId w:val="0"/>
        </w:numPr>
        <w:rPr>
          <w:rFonts w:hint="eastAsia" w:ascii="宋体" w:hAnsi="宋体" w:eastAsia="宋体" w:cs="宋体"/>
          <w:b w:val="0"/>
          <w:bCs w:val="0"/>
          <w:kern w:val="0"/>
          <w:sz w:val="24"/>
          <w:szCs w:val="24"/>
          <w:lang w:val="en-US" w:eastAsia="zh-CN" w:bidi="ar-SA"/>
        </w:rPr>
      </w:pPr>
    </w:p>
    <w:p>
      <w:pPr>
        <w:numPr>
          <w:ilvl w:val="0"/>
          <w:numId w:val="7"/>
        </w:numPr>
        <w:ind w:left="0" w:lef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注意事项</w:t>
      </w:r>
    </w:p>
    <w:p>
      <w:pPr>
        <w:numPr>
          <w:ilvl w:val="0"/>
          <w:numId w:val="9"/>
        </w:numPr>
        <w:spacing w:line="360" w:lineRule="auto"/>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考生往返交通费、食宿费自理。</w:t>
      </w:r>
    </w:p>
    <w:p>
      <w:pPr>
        <w:numPr>
          <w:ilvl w:val="0"/>
          <w:numId w:val="9"/>
        </w:numPr>
        <w:spacing w:line="360" w:lineRule="auto"/>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考生自备运动鞋、运动服、舞蹈服。</w:t>
      </w:r>
    </w:p>
    <w:p>
      <w:pPr>
        <w:numPr>
          <w:ilvl w:val="0"/>
          <w:numId w:val="9"/>
        </w:numPr>
        <w:spacing w:line="360" w:lineRule="auto"/>
        <w:ind w:left="0" w:leftChars="0" w:firstLine="480" w:firstLineChars="200"/>
      </w:pPr>
      <w:r>
        <w:rPr>
          <w:rFonts w:hint="eastAsia" w:ascii="宋体" w:hAnsi="宋体" w:eastAsia="宋体" w:cs="宋体"/>
          <w:b w:val="0"/>
          <w:bCs w:val="0"/>
          <w:kern w:val="0"/>
          <w:sz w:val="24"/>
          <w:szCs w:val="24"/>
          <w:lang w:val="en-US" w:eastAsia="zh-CN" w:bidi="ar-SA"/>
        </w:rPr>
        <w:t>体育特长生类考生专项测试前，请自行购买好人身意外伤害保险及医疗保险。</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01D78E-DDB7-446E-A295-FB0D877139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4F2EBFB-A7EB-4AF6-A708-BF5BC7450615}"/>
  </w:font>
  <w:font w:name="华文中宋">
    <w:panose1 w:val="02010600040101010101"/>
    <w:charset w:val="86"/>
    <w:family w:val="auto"/>
    <w:pitch w:val="default"/>
    <w:sig w:usb0="00000287" w:usb1="080F0000" w:usb2="00000000" w:usb3="00000000" w:csb0="0004009F" w:csb1="DFD70000"/>
    <w:embedRegular r:id="rId3" w:fontKey="{EA77AF65-300F-49E2-9980-BBC288D17127}"/>
  </w:font>
  <w:font w:name="仿宋">
    <w:panose1 w:val="02010609060101010101"/>
    <w:charset w:val="86"/>
    <w:family w:val="modern"/>
    <w:pitch w:val="default"/>
    <w:sig w:usb0="800002BF" w:usb1="38CF7CFA" w:usb2="00000016" w:usb3="00000000" w:csb0="00040001" w:csb1="00000000"/>
    <w:embedRegular r:id="rId4" w:fontKey="{E6C1E6B1-983A-468C-9BD3-6FA787A49D94}"/>
  </w:font>
  <w:font w:name="楷体">
    <w:panose1 w:val="02010609060101010101"/>
    <w:charset w:val="86"/>
    <w:family w:val="auto"/>
    <w:pitch w:val="default"/>
    <w:sig w:usb0="800002BF" w:usb1="38CF7CFA" w:usb2="00000016" w:usb3="00000000" w:csb0="00040001" w:csb1="00000000"/>
    <w:embedRegular r:id="rId5" w:fontKey="{72CF9BC4-9B79-4E40-B5F3-8CEC09B542E8}"/>
  </w:font>
  <w:font w:name="方正小标宋简体">
    <w:panose1 w:val="03000509000000000000"/>
    <w:charset w:val="86"/>
    <w:family w:val="auto"/>
    <w:pitch w:val="default"/>
    <w:sig w:usb0="00000001" w:usb1="080E0000" w:usb2="00000000" w:usb3="00000000" w:csb0="00040000" w:csb1="00000000"/>
    <w:embedRegular r:id="rId6" w:fontKey="{56CE0B33-4756-4FA0-BA70-3C0B255E37D4}"/>
  </w:font>
  <w:font w:name="汉仪细圆B5">
    <w:altName w:val="仿宋"/>
    <w:panose1 w:val="00000000000000000000"/>
    <w:charset w:val="00"/>
    <w:family w:val="auto"/>
    <w:pitch w:val="default"/>
    <w:sig w:usb0="00000000" w:usb1="00000000" w:usb2="00000000" w:usb3="00000000" w:csb0="00000000" w:csb1="00000000"/>
    <w:embedRegular r:id="rId7" w:fontKey="{472AA288-D145-400E-BA20-787F77552C07}"/>
  </w:font>
  <w:font w:name="Microsoft YaHei UI">
    <w:panose1 w:val="020B0503020204020204"/>
    <w:charset w:val="86"/>
    <w:family w:val="auto"/>
    <w:pitch w:val="default"/>
    <w:sig w:usb0="80000287" w:usb1="2ACF3C50" w:usb2="00000016" w:usb3="00000000" w:csb0="0004001F" w:csb1="00000000"/>
    <w:embedRegular r:id="rId8" w:fontKey="{831FBA1B-76C3-456D-BD57-FF35EE1801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2FDB0"/>
    <w:multiLevelType w:val="singleLevel"/>
    <w:tmpl w:val="9382FDB0"/>
    <w:lvl w:ilvl="0" w:tentative="0">
      <w:start w:val="1"/>
      <w:numFmt w:val="decimal"/>
      <w:suff w:val="nothing"/>
      <w:lvlText w:val="%1、"/>
      <w:lvlJc w:val="left"/>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3">
    <w:nsid w:val="EA03636C"/>
    <w:multiLevelType w:val="singleLevel"/>
    <w:tmpl w:val="EA03636C"/>
    <w:lvl w:ilvl="0" w:tentative="0">
      <w:start w:val="1"/>
      <w:numFmt w:val="decimal"/>
      <w:suff w:val="nothing"/>
      <w:lvlText w:val="%1、"/>
      <w:lvlJc w:val="left"/>
    </w:lvl>
  </w:abstractNum>
  <w:abstractNum w:abstractNumId="4">
    <w:nsid w:val="5007EBA2"/>
    <w:multiLevelType w:val="singleLevel"/>
    <w:tmpl w:val="5007EBA2"/>
    <w:lvl w:ilvl="0" w:tentative="0">
      <w:start w:val="8"/>
      <w:numFmt w:val="chineseCounting"/>
      <w:suff w:val="nothing"/>
      <w:lvlText w:val="%1、"/>
      <w:lvlJc w:val="left"/>
      <w:rPr>
        <w:rFonts w:hint="eastAsia"/>
      </w:rPr>
    </w:lvl>
  </w:abstractNum>
  <w:abstractNum w:abstractNumId="5">
    <w:nsid w:val="604A3D49"/>
    <w:multiLevelType w:val="multilevel"/>
    <w:tmpl w:val="604A3D4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996757"/>
    <w:multiLevelType w:val="multilevel"/>
    <w:tmpl w:val="709967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5A5E5C"/>
    <w:multiLevelType w:val="singleLevel"/>
    <w:tmpl w:val="765A5E5C"/>
    <w:lvl w:ilvl="0" w:tentative="0">
      <w:start w:val="1"/>
      <w:numFmt w:val="decimal"/>
      <w:suff w:val="nothing"/>
      <w:lvlText w:val="%1、"/>
      <w:lvlJc w:val="left"/>
      <w:pPr>
        <w:ind w:left="480" w:firstLine="0"/>
      </w:pPr>
    </w:lvl>
  </w:abstractNum>
  <w:abstractNum w:abstractNumId="8">
    <w:nsid w:val="7A2C1A3D"/>
    <w:multiLevelType w:val="singleLevel"/>
    <w:tmpl w:val="7A2C1A3D"/>
    <w:lvl w:ilvl="0" w:tentative="0">
      <w:start w:val="1"/>
      <w:numFmt w:val="decimal"/>
      <w:suff w:val="nothing"/>
      <w:lvlText w:val="（%1）"/>
      <w:lvlJc w:val="left"/>
    </w:lvl>
  </w:abstractNum>
  <w:num w:numId="1">
    <w:abstractNumId w:val="1"/>
  </w:num>
  <w:num w:numId="2">
    <w:abstractNumId w:val="2"/>
  </w:num>
  <w:num w:numId="3">
    <w:abstractNumId w:val="5"/>
  </w:num>
  <w:num w:numId="4">
    <w:abstractNumId w:val="6"/>
  </w:num>
  <w:num w:numId="5">
    <w:abstractNumId w:val="8"/>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jE3MmNlYmFiMzQwNDFjNDRiYTIxZjMzOWFiOWE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763A20"/>
    <w:rsid w:val="02AA213A"/>
    <w:rsid w:val="037544A2"/>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CEE40BF"/>
    <w:rsid w:val="0D511BCD"/>
    <w:rsid w:val="0D9A2F32"/>
    <w:rsid w:val="0F0E57E7"/>
    <w:rsid w:val="0F713C26"/>
    <w:rsid w:val="0FA364D6"/>
    <w:rsid w:val="0FFA0E2A"/>
    <w:rsid w:val="107F26DA"/>
    <w:rsid w:val="10DB6D7F"/>
    <w:rsid w:val="111613BE"/>
    <w:rsid w:val="11B318DC"/>
    <w:rsid w:val="11B545A0"/>
    <w:rsid w:val="126B2BAF"/>
    <w:rsid w:val="12996038"/>
    <w:rsid w:val="12A06CFD"/>
    <w:rsid w:val="12CD5AA9"/>
    <w:rsid w:val="12FD57C9"/>
    <w:rsid w:val="130628D8"/>
    <w:rsid w:val="13511DA5"/>
    <w:rsid w:val="1381162F"/>
    <w:rsid w:val="13A50343"/>
    <w:rsid w:val="13AD0F56"/>
    <w:rsid w:val="13BF1404"/>
    <w:rsid w:val="13CE6FBC"/>
    <w:rsid w:val="13F14888"/>
    <w:rsid w:val="13FB7F63"/>
    <w:rsid w:val="14377C0F"/>
    <w:rsid w:val="14575E03"/>
    <w:rsid w:val="146A2027"/>
    <w:rsid w:val="14D666DB"/>
    <w:rsid w:val="14EF4045"/>
    <w:rsid w:val="150D43F1"/>
    <w:rsid w:val="15132AEA"/>
    <w:rsid w:val="152009E0"/>
    <w:rsid w:val="152F25BA"/>
    <w:rsid w:val="15323EC6"/>
    <w:rsid w:val="15FD73AB"/>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0534CE"/>
    <w:rsid w:val="1E575166"/>
    <w:rsid w:val="1E6F7E6E"/>
    <w:rsid w:val="1E9C236D"/>
    <w:rsid w:val="1F16734A"/>
    <w:rsid w:val="1F8E612F"/>
    <w:rsid w:val="1FFE758D"/>
    <w:rsid w:val="200F7270"/>
    <w:rsid w:val="202E0E7A"/>
    <w:rsid w:val="20A0611A"/>
    <w:rsid w:val="22D93B65"/>
    <w:rsid w:val="233660B1"/>
    <w:rsid w:val="23416A94"/>
    <w:rsid w:val="234F597E"/>
    <w:rsid w:val="23811FA1"/>
    <w:rsid w:val="23B95264"/>
    <w:rsid w:val="23BC5A3E"/>
    <w:rsid w:val="23D1216B"/>
    <w:rsid w:val="23F52C20"/>
    <w:rsid w:val="23FC5CD6"/>
    <w:rsid w:val="242A1D2A"/>
    <w:rsid w:val="244823F9"/>
    <w:rsid w:val="25245D32"/>
    <w:rsid w:val="25787421"/>
    <w:rsid w:val="25E31AB3"/>
    <w:rsid w:val="25ED6EF5"/>
    <w:rsid w:val="261C6242"/>
    <w:rsid w:val="26AB5FE8"/>
    <w:rsid w:val="26D63198"/>
    <w:rsid w:val="26F17200"/>
    <w:rsid w:val="274979CF"/>
    <w:rsid w:val="275210BB"/>
    <w:rsid w:val="27AF13DE"/>
    <w:rsid w:val="286D4306"/>
    <w:rsid w:val="29DD040A"/>
    <w:rsid w:val="2A0406E2"/>
    <w:rsid w:val="2A0656A8"/>
    <w:rsid w:val="2A32577F"/>
    <w:rsid w:val="2A5A558B"/>
    <w:rsid w:val="2ABE71EB"/>
    <w:rsid w:val="2C0833AD"/>
    <w:rsid w:val="2C8478F1"/>
    <w:rsid w:val="2CFB6EDA"/>
    <w:rsid w:val="2D0F6B01"/>
    <w:rsid w:val="2D1221C7"/>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150C5F"/>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AD12BC"/>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4270"/>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D41DD8"/>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0846A6"/>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392F16"/>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526486"/>
    <w:rsid w:val="72A471DF"/>
    <w:rsid w:val="72B67B5A"/>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17500A"/>
    <w:rsid w:val="7E5C285E"/>
    <w:rsid w:val="7EBF5433"/>
    <w:rsid w:val="7EDEFF37"/>
    <w:rsid w:val="7EEB27A6"/>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8"/>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9"/>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20"/>
    <w:autoRedefine/>
    <w:qFormat/>
    <w:uiPriority w:val="0"/>
    <w:rPr>
      <w:sz w:val="18"/>
      <w:szCs w:val="18"/>
      <w:lang w:val="zh-CN"/>
    </w:rPr>
  </w:style>
  <w:style w:type="paragraph" w:styleId="7">
    <w:name w:val="footer"/>
    <w:basedOn w:val="1"/>
    <w:link w:val="21"/>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2"/>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FollowedHyperlink"/>
    <w:basedOn w:val="13"/>
    <w:autoRedefine/>
    <w:qFormat/>
    <w:uiPriority w:val="0"/>
    <w:rPr>
      <w:color w:val="333333"/>
      <w:sz w:val="21"/>
      <w:szCs w:val="21"/>
      <w:u w:val="none"/>
    </w:rPr>
  </w:style>
  <w:style w:type="character" w:styleId="16">
    <w:name w:val="Hyperlink"/>
    <w:basedOn w:val="13"/>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批注文字 Char"/>
    <w:link w:val="3"/>
    <w:autoRedefine/>
    <w:qFormat/>
    <w:uiPriority w:val="0"/>
    <w:rPr>
      <w:rFonts w:ascii="Calibri" w:hAnsi="Calibri"/>
      <w:kern w:val="2"/>
      <w:sz w:val="21"/>
      <w:szCs w:val="24"/>
    </w:rPr>
  </w:style>
  <w:style w:type="character" w:customStyle="1" w:styleId="19">
    <w:name w:val="正文文本缩进 Char"/>
    <w:link w:val="5"/>
    <w:autoRedefine/>
    <w:qFormat/>
    <w:uiPriority w:val="0"/>
    <w:rPr>
      <w:rFonts w:ascii="宋体" w:hAnsi="宋体"/>
      <w:kern w:val="2"/>
      <w:sz w:val="30"/>
      <w:szCs w:val="30"/>
    </w:rPr>
  </w:style>
  <w:style w:type="character" w:customStyle="1" w:styleId="20">
    <w:name w:val="批注框文本 Char"/>
    <w:link w:val="6"/>
    <w:autoRedefine/>
    <w:qFormat/>
    <w:uiPriority w:val="0"/>
    <w:rPr>
      <w:kern w:val="2"/>
      <w:sz w:val="18"/>
      <w:szCs w:val="18"/>
    </w:rPr>
  </w:style>
  <w:style w:type="character" w:customStyle="1" w:styleId="21">
    <w:name w:val="页脚 Char"/>
    <w:link w:val="7"/>
    <w:autoRedefine/>
    <w:qFormat/>
    <w:uiPriority w:val="99"/>
    <w:rPr>
      <w:kern w:val="2"/>
      <w:sz w:val="18"/>
      <w:szCs w:val="18"/>
    </w:rPr>
  </w:style>
  <w:style w:type="character" w:customStyle="1" w:styleId="22">
    <w:name w:val="批注主题 Char"/>
    <w:link w:val="10"/>
    <w:autoRedefine/>
    <w:qFormat/>
    <w:uiPriority w:val="0"/>
    <w:rPr>
      <w:rFonts w:ascii="Calibri" w:hAnsi="Calibri"/>
      <w:b/>
      <w:bCs/>
      <w:kern w:val="2"/>
      <w:sz w:val="21"/>
      <w:szCs w:val="24"/>
    </w:rPr>
  </w:style>
  <w:style w:type="paragraph" w:customStyle="1" w:styleId="23">
    <w:name w:val="Char Char Char Char"/>
    <w:basedOn w:val="1"/>
    <w:autoRedefine/>
    <w:qFormat/>
    <w:uiPriority w:val="0"/>
    <w:pPr>
      <w:widowControl/>
      <w:spacing w:after="160" w:line="240" w:lineRule="exact"/>
      <w:jc w:val="left"/>
    </w:pPr>
  </w:style>
  <w:style w:type="paragraph" w:styleId="24">
    <w:name w:val="List Paragraph"/>
    <w:basedOn w:val="1"/>
    <w:autoRedefine/>
    <w:qFormat/>
    <w:uiPriority w:val="99"/>
    <w:pPr>
      <w:ind w:left="138" w:right="436" w:firstLine="638"/>
    </w:pPr>
    <w:rPr>
      <w:rFonts w:ascii="宋体" w:hAnsi="宋体" w:cs="宋体"/>
      <w:lang w:val="zh-CN" w:bidi="zh-CN"/>
    </w:rPr>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6">
    <w:name w:val="font11"/>
    <w:basedOn w:val="13"/>
    <w:autoRedefine/>
    <w:qFormat/>
    <w:uiPriority w:val="0"/>
    <w:rPr>
      <w:rFonts w:hint="eastAsia" w:ascii="宋体" w:hAnsi="宋体" w:eastAsia="宋体" w:cs="宋体"/>
      <w:b/>
      <w:bCs/>
      <w:color w:val="000000"/>
      <w:sz w:val="21"/>
      <w:szCs w:val="21"/>
      <w:u w:val="none"/>
    </w:rPr>
  </w:style>
  <w:style w:type="character" w:customStyle="1" w:styleId="27">
    <w:name w:val="font21"/>
    <w:basedOn w:val="13"/>
    <w:autoRedefine/>
    <w:qFormat/>
    <w:uiPriority w:val="0"/>
    <w:rPr>
      <w:rFonts w:hint="eastAsia" w:ascii="宋体" w:hAnsi="宋体" w:eastAsia="宋体" w:cs="宋体"/>
      <w:color w:val="000000"/>
      <w:sz w:val="21"/>
      <w:szCs w:val="21"/>
      <w:u w:val="none"/>
    </w:rPr>
  </w:style>
  <w:style w:type="paragraph" w:customStyle="1" w:styleId="28">
    <w:name w:val="Body text|1"/>
    <w:basedOn w:val="1"/>
    <w:qFormat/>
    <w:uiPriority w:val="0"/>
    <w:pPr>
      <w:spacing w:line="360" w:lineRule="auto"/>
      <w:ind w:firstLine="240"/>
    </w:pPr>
    <w:rPr>
      <w:rFonts w:ascii="宋体" w:hAnsi="宋体" w:cs="宋体"/>
      <w:sz w:val="12"/>
      <w:szCs w:val="12"/>
      <w:lang w:val="zh-TW" w:eastAsia="zh-TW" w:bidi="zh-TW"/>
    </w:rPr>
  </w:style>
  <w:style w:type="paragraph" w:customStyle="1" w:styleId="29">
    <w:name w:val="Other|1"/>
    <w:basedOn w:val="1"/>
    <w:autoRedefine/>
    <w:qFormat/>
    <w:uiPriority w:val="0"/>
    <w:pPr>
      <w:jc w:val="center"/>
    </w:pPr>
    <w:rPr>
      <w:sz w:val="12"/>
      <w:szCs w:val="12"/>
      <w:lang w:val="zh-TW" w:eastAsia="zh-TW" w:bidi="zh-TW"/>
    </w:rPr>
  </w:style>
  <w:style w:type="character" w:customStyle="1" w:styleId="30">
    <w:name w:val="font4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2442</Words>
  <Characters>2661</Characters>
  <Lines>5</Lines>
  <Paragraphs>16</Paragraphs>
  <TotalTime>22</TotalTime>
  <ScaleCrop>false</ScaleCrop>
  <LinksUpToDate>false</LinksUpToDate>
  <CharactersWithSpaces>2691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郭书文</cp:lastModifiedBy>
  <cp:lastPrinted>2024-01-12T07:12:00Z</cp:lastPrinted>
  <dcterms:modified xsi:type="dcterms:W3CDTF">2025-02-24T07:18:40Z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98061B07E6A24DE18B6D3632B432C73F_13</vt:lpwstr>
  </property>
  <property fmtid="{D5CDD505-2E9C-101B-9397-08002B2CF9AE}" pid="4" name="KSOTemplateDocerSaveRecord">
    <vt:lpwstr>eyJoZGlkIjoiM2E1OGU2ZTEyYTkzZjQ1M2M0ZWZlNzZhMzM0YWZlMWYifQ==</vt:lpwstr>
  </property>
</Properties>
</file>